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Conclusions en réplique – suggestions d'ajouts et de corrections</w:t>
      </w:r>
    </w:p>
    <w:p>
      <w:pPr>
        <w:spacing w:after="120" w:line="276"/>
      </w:pPr>
      <w:r>
        <w:rPr>
          <w:rFonts w:ascii="Arial" w:cs="Arial" w:eastAsia="Arial" w:hAnsi="Arial"/>
          <w:i/>
          <w:iCs/>
          <w:sz w:val="18"/>
          <w:szCs w:val="18"/>
        </w:rPr>
        <w:t xml:space="preserve">Audience du 30 octobre 2026 – TJ Paris, JAF section 1 cabinet 2 – RG 26/35379</w:t>
      </w:r>
    </w:p>
    <w:p>
      <w:pPr>
        <w:pBdr>
          <w:bottom w:val="single" w:color="1F3864" w:sz="6" w:space="4"/>
        </w:pBdr>
        <w:spacing w:after="240"/>
      </w:pPr>
      <w:r>
        <w:rPr>
          <w:rFonts w:ascii="Arial" w:cs="Arial" w:eastAsia="Arial" w:hAnsi="Arial"/>
          <w:i/>
          <w:iCs/>
          <w:sz w:val="18"/>
          <w:szCs w:val="18"/>
        </w:rPr>
        <w:t xml:space="preserve">Document de travail confidentiel à l'attention de Me JEAND'HEUR PITCHER. Base : projet de conclusions en réplique au 18.09.26 (24 pages, 37 pièces), mis en regard des conclusions adverses VF reçues le 27.10.26 (80 pièces).</w:t>
      </w:r>
    </w:p>
    <w:p>
      <w:pPr>
        <w:pStyle w:val="Heading1"/>
        <w:spacing w:after="160" w:before="360"/>
      </w:pPr>
      <w:r>
        <w:rPr>
          <w:rFonts w:ascii="Arial" w:cs="Arial" w:eastAsia="Arial" w:hAnsi="Arial"/>
          <w:b/>
          <w:bCs/>
          <w:color w:val="1F3864"/>
          <w:sz w:val="28"/>
          <w:szCs w:val="28"/>
        </w:rPr>
        <w:t xml:space="preserve">1. Deux arguments à retravailler</w:t>
      </w:r>
    </w:p>
    <w:p>
      <w:pPr>
        <w:pStyle w:val="Heading2"/>
        <w:spacing w:after="120" w:before="240"/>
      </w:pPr>
      <w:r>
        <w:rPr>
          <w:rFonts w:ascii="Arial" w:cs="Arial" w:eastAsia="Arial" w:hAnsi="Arial"/>
          <w:b/>
          <w:bCs/>
          <w:color w:val="1F3864"/>
          <w:sz w:val="23"/>
          <w:szCs w:val="23"/>
        </w:rPr>
        <w:t xml:space="preserve">1.1 Le centre aéré pendant les vacances de la mère : insuffisamment démontré</w:t>
      </w:r>
    </w:p>
    <w:p>
      <w:pPr>
        <w:spacing w:after="120" w:line="276"/>
      </w:pPr>
      <w:r>
        <w:rPr>
          <w:rFonts w:ascii="Arial" w:cs="Arial" w:eastAsia="Arial" w:hAnsi="Arial"/>
          <w:b/>
          <w:bCs/>
          <w:sz w:val="20"/>
          <w:szCs w:val="20"/>
        </w:rPr>
        <w:t xml:space="preserve">État du projet (p. 13). </w:t>
      </w:r>
      <w:r>
        <w:rPr>
          <w:rFonts w:ascii="Arial" w:cs="Arial" w:eastAsia="Arial" w:hAnsi="Arial"/>
          <w:sz w:val="20"/>
          <w:szCs w:val="20"/>
        </w:rPr>
        <w:t xml:space="preserve">Un paragraphe d'affirmation (« Madame GRAMOND ne part que rarement en vacances avec Aliénor qui est donc, sur ses propres temps de garde, également confiée à des tiers ») et deux citations de mails de Monsieur DU VIVIER : 9 septembre 2024 (« cinq semaines complètes avec Aliénor, alors que toi, tu n'as passé que deux semaines… le reste du temps, elle est au centre aéré ») et 29 octobre 2024 (« halte garderie enfermée de 8h à 18h »).</w:t>
      </w:r>
    </w:p>
    <w:p>
      <w:pPr>
        <w:spacing w:after="120" w:line="276"/>
      </w:pPr>
      <w:r>
        <w:rPr>
          <w:rFonts w:ascii="Arial" w:cs="Arial" w:eastAsia="Arial" w:hAnsi="Arial"/>
          <w:b/>
          <w:bCs/>
          <w:sz w:val="20"/>
          <w:szCs w:val="20"/>
        </w:rPr>
        <w:t xml:space="preserve">Pourquoi c'est faible.</w:t>
      </w:r>
    </w:p>
    <w:p>
      <w:pPr>
        <w:pStyle w:val="ListParagraph"/>
        <w:numPr>
          <w:ilvl w:val="0"/>
          <w:numId w:val="2"/>
        </w:numPr>
        <w:spacing w:after="80" w:line="276"/>
      </w:pPr>
      <w:r>
        <w:rPr>
          <w:rFonts w:ascii="Arial" w:cs="Arial" w:eastAsia="Arial" w:hAnsi="Arial"/>
          <w:sz w:val="20"/>
          <w:szCs w:val="20"/>
        </w:rPr>
        <w:t xml:space="preserve">La seule preuve est la parole du père dans des mails de reproche. Le juge y lira un échange de griefs, pas un fait établi.</w:t>
      </w:r>
    </w:p>
    <w:p>
      <w:pPr>
        <w:pStyle w:val="ListParagraph"/>
        <w:numPr>
          <w:ilvl w:val="0"/>
          <w:numId w:val="2"/>
        </w:numPr>
        <w:spacing w:after="80" w:line="276"/>
      </w:pPr>
      <w:r>
        <w:rPr>
          <w:rFonts w:ascii="Arial" w:cs="Arial" w:eastAsia="Arial" w:hAnsi="Arial"/>
          <w:sz w:val="20"/>
          <w:szCs w:val="20"/>
        </w:rPr>
        <w:t xml:space="preserve">Le mail du 29 octobre 2024 est cité par la partie adverse (sa pièce 6) comme exemple de dénigrement. Le reprendre à notre compte le renforce dans ce rôle.</w:t>
      </w:r>
    </w:p>
    <w:p>
      <w:pPr>
        <w:pStyle w:val="ListParagraph"/>
        <w:numPr>
          <w:ilvl w:val="0"/>
          <w:numId w:val="2"/>
        </w:numPr>
        <w:spacing w:after="80" w:line="276"/>
      </w:pPr>
      <w:r>
        <w:rPr>
          <w:rFonts w:ascii="Arial" w:cs="Arial" w:eastAsia="Arial" w:hAnsi="Arial"/>
          <w:sz w:val="20"/>
          <w:szCs w:val="20"/>
        </w:rPr>
        <w:t xml:space="preserve">La partie adverse a répondu par avance (§13 de ses conclusions) : « le recours ponctuel à un centre de loisirs… pendant les heures de travail d'un parent ne saurait être assimilé à une délégation quasi permanente ». Il faut dépasser l'affirmation.</w:t>
      </w:r>
    </w:p>
    <w:p>
      <w:pPr>
        <w:spacing w:after="120" w:line="276"/>
      </w:pPr>
      <w:r>
        <w:rPr>
          <w:rFonts w:ascii="Arial" w:cs="Arial" w:eastAsia="Arial" w:hAnsi="Arial"/>
          <w:b/>
          <w:bCs/>
          <w:sz w:val="20"/>
          <w:szCs w:val="20"/>
        </w:rPr>
        <w:t xml:space="preserve">Ce qui existe déjà au dossier pour l'établir sans la parole du père.</w:t>
      </w:r>
    </w:p>
    <w:p>
      <w:pPr>
        <w:pStyle w:val="ListParagraph"/>
        <w:numPr>
          <w:ilvl w:val="0"/>
          <w:numId w:val="2"/>
        </w:numPr>
        <w:spacing w:after="80" w:line="276"/>
      </w:pPr>
      <w:r>
        <w:rPr>
          <w:rFonts w:ascii="Arial" w:cs="Arial" w:eastAsia="Arial" w:hAnsi="Arial"/>
          <w:b/>
          <w:bCs/>
          <w:sz w:val="20"/>
          <w:szCs w:val="20"/>
        </w:rPr>
        <w:t xml:space="preserve">Aveu adverse, à deux reprises : </w:t>
      </w:r>
      <w:r>
        <w:rPr>
          <w:rFonts w:ascii="Arial" w:cs="Arial" w:eastAsia="Arial" w:hAnsi="Arial"/>
          <w:sz w:val="20"/>
          <w:szCs w:val="20"/>
        </w:rPr>
        <w:t xml:space="preserve">« Monsieur DU VIVIER emmène Aliénor en vacances à chaque période de vacances scolaires, ce que Madame GRAMOND ne peut pas toujours faire » (requête de juin 2026 §29 et conclusions du 27.10 §30). La phrase figure dans sa propre argumentation financière. À citer mot pour mot dans la partie « absences du père ».</w:t>
      </w:r>
    </w:p>
    <w:p>
      <w:pPr>
        <w:pStyle w:val="ListParagraph"/>
        <w:numPr>
          <w:ilvl w:val="0"/>
          <w:numId w:val="2"/>
        </w:numPr>
        <w:spacing w:after="80" w:line="276"/>
      </w:pPr>
      <w:r>
        <w:rPr>
          <w:rFonts w:ascii="Arial" w:cs="Arial" w:eastAsia="Arial" w:hAnsi="Arial"/>
          <w:b/>
          <w:bCs/>
          <w:sz w:val="20"/>
          <w:szCs w:val="20"/>
        </w:rPr>
        <w:t xml:space="preserve">Pièce adverse 45 : </w:t>
      </w:r>
      <w:r>
        <w:rPr>
          <w:rFonts w:ascii="Arial" w:cs="Arial" w:eastAsia="Arial" w:hAnsi="Arial"/>
          <w:sz w:val="20"/>
          <w:szCs w:val="20"/>
        </w:rPr>
        <w:t xml:space="preserve">factures de centre aéré (750,44 €/an) produites par Mme GRAMOND elle-même. Relever le nombre de jours facturés par période de vacances.</w:t>
      </w:r>
    </w:p>
    <w:p>
      <w:pPr>
        <w:pStyle w:val="ListParagraph"/>
        <w:numPr>
          <w:ilvl w:val="0"/>
          <w:numId w:val="2"/>
        </w:numPr>
        <w:spacing w:after="80" w:line="276"/>
      </w:pPr>
      <w:r>
        <w:rPr>
          <w:rFonts w:ascii="Arial" w:cs="Arial" w:eastAsia="Arial" w:hAnsi="Arial"/>
          <w:b/>
          <w:bCs/>
          <w:sz w:val="20"/>
          <w:szCs w:val="20"/>
        </w:rPr>
        <w:t xml:space="preserve">Pièce adverse 67 </w:t>
      </w:r>
      <w:r>
        <w:rPr>
          <w:rFonts w:ascii="Arial" w:cs="Arial" w:eastAsia="Arial" w:hAnsi="Arial"/>
          <w:sz w:val="20"/>
          <w:szCs w:val="20"/>
        </w:rPr>
        <w:t xml:space="preserve">(attestation BERTHIER du 9 octobre 2026) : Mme GRAMOND affirme désormais disposer d'un « emploi du temps aménageable », de « télétravail » et d'une « pleine disponibilité ». À retourner : si elle est disponible, le centre aéré sur ses vacances est un choix, pas une contrainte ; si elle ne l'est pas, sa demande de résidence exclusive repose sur une disponibilité qu'elle n'a pas.</w:t>
      </w:r>
    </w:p>
    <w:p>
      <w:pPr>
        <w:pStyle w:val="ListParagraph"/>
        <w:numPr>
          <w:ilvl w:val="0"/>
          <w:numId w:val="2"/>
        </w:numPr>
        <w:spacing w:after="80" w:line="276"/>
      </w:pPr>
      <w:r>
        <w:rPr>
          <w:rFonts w:ascii="Arial" w:cs="Arial" w:eastAsia="Arial" w:hAnsi="Arial"/>
          <w:b/>
          <w:bCs/>
          <w:sz w:val="20"/>
          <w:szCs w:val="20"/>
        </w:rPr>
        <w:t xml:space="preserve">Pièce adverse 30 </w:t>
      </w:r>
      <w:r>
        <w:rPr>
          <w:rFonts w:ascii="Arial" w:cs="Arial" w:eastAsia="Arial" w:hAnsi="Arial"/>
          <w:sz w:val="20"/>
          <w:szCs w:val="20"/>
        </w:rPr>
        <w:t xml:space="preserve">(mails du 15 octobre 2024) et nos pièces 13, 16, 19 : à relire pour en extraire les passages où elle annonce elle-même un centre aéré.</w:t>
      </w:r>
    </w:p>
    <w:p>
      <w:pPr>
        <w:spacing w:after="120" w:line="276"/>
      </w:pPr>
      <w:r>
        <w:rPr>
          <w:rFonts w:ascii="Arial" w:cs="Arial" w:eastAsia="Arial" w:hAnsi="Arial"/>
          <w:b/>
          <w:bCs/>
          <w:sz w:val="20"/>
          <w:szCs w:val="20"/>
        </w:rPr>
        <w:t xml:space="preserve">À produire en plus.</w:t>
      </w:r>
    </w:p>
    <w:p>
      <w:pPr>
        <w:pStyle w:val="ListParagraph"/>
        <w:numPr>
          <w:ilvl w:val="0"/>
          <w:numId w:val="2"/>
        </w:numPr>
        <w:spacing w:after="80" w:line="276"/>
      </w:pPr>
      <w:r>
        <w:rPr>
          <w:rFonts w:ascii="Arial" w:cs="Arial" w:eastAsia="Arial" w:hAnsi="Arial"/>
          <w:b/>
          <w:bCs/>
          <w:sz w:val="20"/>
          <w:szCs w:val="20"/>
        </w:rPr>
        <w:t xml:space="preserve">Un tableau récapitulatif des vacances scolaires 2024, 2025 et 2026, </w:t>
      </w:r>
      <w:r>
        <w:rPr>
          <w:rFonts w:ascii="Arial" w:cs="Arial" w:eastAsia="Arial" w:hAnsi="Arial"/>
          <w:sz w:val="20"/>
          <w:szCs w:val="20"/>
        </w:rPr>
        <w:t xml:space="preserve">période par période : où était Aliénor, avec qui, combien de jours, pièce justificative (billets de train, réservations, factures de stage de tennis, d'équitation, de ski, photos datées, attestation de la cousine déjà produite en pièce 14). Une page, factuelle, sans commentaire.</w:t>
      </w:r>
    </w:p>
    <w:p>
      <w:pPr>
        <w:pStyle w:val="ListParagraph"/>
        <w:numPr>
          <w:ilvl w:val="0"/>
          <w:numId w:val="2"/>
        </w:numPr>
        <w:spacing w:after="80" w:line="276"/>
      </w:pPr>
      <w:r>
        <w:rPr>
          <w:rFonts w:ascii="Arial" w:cs="Arial" w:eastAsia="Arial" w:hAnsi="Arial"/>
          <w:sz w:val="20"/>
          <w:szCs w:val="20"/>
        </w:rPr>
        <w:t xml:space="preserve">Le total des jours de centre aéré facturés, mis en regard du nombre de semaines de vacances qui reviennent à la mère.</w:t>
      </w:r>
    </w:p>
    <w:p>
      <w:pPr>
        <w:spacing w:after="120" w:line="276"/>
      </w:pPr>
      <w:r>
        <w:rPr>
          <w:rFonts w:ascii="Arial" w:cs="Arial" w:eastAsia="Arial" w:hAnsi="Arial"/>
          <w:b/>
          <w:bCs/>
          <w:sz w:val="20"/>
          <w:szCs w:val="20"/>
        </w:rPr>
        <w:t xml:space="preserve">Sur le ton. </w:t>
      </w:r>
      <w:r>
        <w:rPr>
          <w:rFonts w:ascii="Arial" w:cs="Arial" w:eastAsia="Arial" w:hAnsi="Arial"/>
          <w:sz w:val="20"/>
          <w:szCs w:val="20"/>
        </w:rPr>
        <w:t xml:space="preserve">Ne pas écrire « constamment » ; écrire le nombre de jours. Retirer le point d'exclamation de « Elle ne peut donc en faire le reproche au père ! ». L'argument utile n'est pas que la mère délègue, c'est que les deux parents font garder l'enfant pendant leurs heures de travail, ce qui est normal, et que le juge de 2023 l'avait constaté sans y voir un obstacle à l'alternance.</w:t>
      </w:r>
    </w:p>
    <w:p>
      <w:pPr>
        <w:pStyle w:val="Heading2"/>
        <w:spacing w:after="120" w:before="240"/>
      </w:pPr>
      <w:r>
        <w:rPr>
          <w:rFonts w:ascii="Arial" w:cs="Arial" w:eastAsia="Arial" w:hAnsi="Arial"/>
          <w:b/>
          <w:bCs/>
          <w:color w:val="1F3864"/>
          <w:sz w:val="23"/>
          <w:szCs w:val="23"/>
        </w:rPr>
        <w:t xml:space="preserve">1.2 « Pas de colères chez le père » : argument devenu fragile, à reformuler</w:t>
      </w:r>
    </w:p>
    <w:p>
      <w:pPr>
        <w:spacing w:after="120" w:line="276"/>
      </w:pPr>
      <w:r>
        <w:rPr>
          <w:rFonts w:ascii="Arial" w:cs="Arial" w:eastAsia="Arial" w:hAnsi="Arial"/>
          <w:b/>
          <w:bCs/>
          <w:sz w:val="20"/>
          <w:szCs w:val="20"/>
        </w:rPr>
        <w:t xml:space="preserve">État du projet (p. 16). </w:t>
      </w:r>
      <w:r>
        <w:rPr>
          <w:rFonts w:ascii="Arial" w:cs="Arial" w:eastAsia="Arial" w:hAnsi="Arial"/>
          <w:sz w:val="20"/>
          <w:szCs w:val="20"/>
        </w:rPr>
        <w:t xml:space="preserve">« Il appert que les crises et colères évoquées par Madame GRAMOND ont toutes lieu lorsqu'Aliénor est à son domicile… Le père lui ne rencontre aucun problème similaire lié à des colères. »</w:t>
      </w:r>
    </w:p>
    <w:p>
      <w:pPr>
        <w:spacing w:after="120" w:line="276"/>
      </w:pPr>
      <w:r>
        <w:rPr>
          <w:rFonts w:ascii="Arial" w:cs="Arial" w:eastAsia="Arial" w:hAnsi="Arial"/>
          <w:b/>
          <w:bCs/>
          <w:sz w:val="20"/>
          <w:szCs w:val="20"/>
        </w:rPr>
        <w:t xml:space="preserve">Le problème. </w:t>
      </w:r>
      <w:r>
        <w:rPr>
          <w:rFonts w:ascii="Arial" w:cs="Arial" w:eastAsia="Arial" w:hAnsi="Arial"/>
          <w:sz w:val="20"/>
          <w:szCs w:val="20"/>
        </w:rPr>
        <w:t xml:space="preserve">La partie adverse produit les mails de Monsieur DU VIVIER des 6 et 7 mai 2026 (sa pièce 63) : « Je t'écris profondément inquiet au sujet d'Aliénor. Son comportement devient ingérable et la situation se dégrade de jour en jour. Les choses se sont très mal passées avec Isabelle et Nica (…) à mon domicile où Aliénor s'affranchit de toutes les règles, de toute politesse, de douceur ». Elle les oppose à l'affirmation « tout se passe très bien ». Si les conclusions maintiennent « aucun problème similaire », le juge aura ces mots sous les yeux. C'est le point le plus exposé du projet.</w:t>
      </w:r>
    </w:p>
    <w:p>
      <w:pPr>
        <w:spacing w:after="120" w:line="276"/>
      </w:pPr>
      <w:r>
        <w:rPr>
          <w:rFonts w:ascii="Arial" w:cs="Arial" w:eastAsia="Arial" w:hAnsi="Arial"/>
          <w:b/>
          <w:bCs/>
          <w:sz w:val="20"/>
          <w:szCs w:val="20"/>
        </w:rPr>
        <w:t xml:space="preserve">Ce qu'il faut faire.</w:t>
      </w:r>
    </w:p>
    <w:p>
      <w:pPr>
        <w:pStyle w:val="ListParagraph"/>
        <w:numPr>
          <w:ilvl w:val="0"/>
          <w:numId w:val="3"/>
        </w:numPr>
        <w:spacing w:after="80" w:line="276"/>
      </w:pPr>
      <w:r>
        <w:rPr>
          <w:rFonts w:ascii="Arial" w:cs="Arial" w:eastAsia="Arial" w:hAnsi="Arial"/>
          <w:b/>
          <w:bCs/>
          <w:sz w:val="20"/>
          <w:szCs w:val="20"/>
        </w:rPr>
        <w:t xml:space="preserve">Traiter frontalement les mails de mai 2026 : </w:t>
      </w:r>
      <w:r>
        <w:rPr>
          <w:rFonts w:ascii="Arial" w:cs="Arial" w:eastAsia="Arial" w:hAnsi="Arial"/>
          <w:sz w:val="20"/>
          <w:szCs w:val="20"/>
        </w:rPr>
        <w:t xml:space="preserve">contexte (quel épisode, avec qui, quelle durée), ce qui a été fait ensuite, comment la situation a évolué. Un parent qui s'alarme et alerte l'autre n'est pas un parent défaillant ; c'est l'inverse de l'« absence » reprochée.</w:t>
      </w:r>
    </w:p>
    <w:p>
      <w:pPr>
        <w:pStyle w:val="ListParagraph"/>
        <w:numPr>
          <w:ilvl w:val="0"/>
          <w:numId w:val="3"/>
        </w:numPr>
        <w:spacing w:after="80" w:line="276"/>
      </w:pPr>
      <w:r>
        <w:rPr>
          <w:rFonts w:ascii="Arial" w:cs="Arial" w:eastAsia="Arial" w:hAnsi="Arial"/>
          <w:b/>
          <w:bCs/>
          <w:sz w:val="20"/>
          <w:szCs w:val="20"/>
        </w:rPr>
        <w:t xml:space="preserve">Abandonner la thèse « colères chez la mère uniquement » </w:t>
      </w:r>
      <w:r>
        <w:rPr>
          <w:rFonts w:ascii="Arial" w:cs="Arial" w:eastAsia="Arial" w:hAnsi="Arial"/>
          <w:sz w:val="20"/>
          <w:szCs w:val="20"/>
        </w:rPr>
        <w:t xml:space="preserve">au profit d'une thèse tenable : Aliénor a 8 ans ; les professionnels décrivent des fragilités attentionnelles et de langage écrit (bilan orthophonique du 19 juin 2026, examen psychologique RICHARD du 29 août 2026, PAP). Ces difficultés sont développementales. Aucun des trois professionnels n'écrit que le mode de résidence en est la cause. Le rapport RICHARD, tel que cité par la partie adverse, parle d'« histoire » et de « manifestations anxieuses précédemment rapportées », c'est-à-dire rapportées par la mère.</w:t>
      </w:r>
    </w:p>
    <w:p>
      <w:pPr>
        <w:pStyle w:val="ListParagraph"/>
        <w:numPr>
          <w:ilvl w:val="0"/>
          <w:numId w:val="3"/>
        </w:numPr>
        <w:spacing w:after="80" w:line="276"/>
      </w:pPr>
      <w:r>
        <w:rPr>
          <w:rFonts w:ascii="Arial" w:cs="Arial" w:eastAsia="Arial" w:hAnsi="Arial"/>
          <w:b/>
          <w:bCs/>
          <w:sz w:val="20"/>
          <w:szCs w:val="20"/>
        </w:rPr>
        <w:t xml:space="preserve">Utiliser le rapport CALIF (pièce adverse 17) dans l'autre sens : </w:t>
      </w:r>
      <w:r>
        <w:rPr>
          <w:rFonts w:ascii="Arial" w:cs="Arial" w:eastAsia="Arial" w:hAnsi="Arial"/>
          <w:sz w:val="20"/>
          <w:szCs w:val="20"/>
        </w:rPr>
        <w:t xml:space="preserve">la psychologue note qu'Aliénor s'enthousiasme d'éléments de son quotidien « avec son papa (arrivée d'un petit frère) » et que la fréquence des colères a diminué entre les rencontres. Le projet le cite ; il faut en tirer la conclusion explicite : le suivi a été bénéfique pendant l'alternance, ce qui contredit l'idée que l'alternance l'empêche.</w:t>
      </w:r>
    </w:p>
    <w:p>
      <w:pPr>
        <w:pStyle w:val="ListParagraph"/>
        <w:numPr>
          <w:ilvl w:val="0"/>
          <w:numId w:val="3"/>
        </w:numPr>
        <w:spacing w:after="80" w:line="276"/>
      </w:pPr>
      <w:r>
        <w:rPr>
          <w:rFonts w:ascii="Arial" w:cs="Arial" w:eastAsia="Arial" w:hAnsi="Arial"/>
          <w:b/>
          <w:bCs/>
          <w:sz w:val="20"/>
          <w:szCs w:val="20"/>
        </w:rPr>
        <w:t xml:space="preserve">Contester le lien de causalité, pas les symptômes. </w:t>
      </w:r>
      <w:r>
        <w:rPr>
          <w:rFonts w:ascii="Arial" w:cs="Arial" w:eastAsia="Arial" w:hAnsi="Arial"/>
          <w:sz w:val="20"/>
          <w:szCs w:val="20"/>
        </w:rPr>
        <w:t xml:space="preserve">La seule phrase des professionnels sur les transitions (SAINT REMY : « les temps de transition semblent demeurer un point sensible ») vise toute transition, y compris maison-école, et recommande « une présence parentale stable et continue », pas la suppression d'un parent. Une résidence chez la mère avec un week-end sur deux crée aussi des transitions.</w:t>
      </w:r>
    </w:p>
    <w:p>
      <w:pPr>
        <w:pStyle w:val="ListParagraph"/>
        <w:numPr>
          <w:ilvl w:val="0"/>
          <w:numId w:val="3"/>
        </w:numPr>
        <w:spacing w:after="80" w:line="276"/>
      </w:pPr>
      <w:r>
        <w:rPr>
          <w:rFonts w:ascii="Arial" w:cs="Arial" w:eastAsia="Arial" w:hAnsi="Arial"/>
          <w:b/>
          <w:bCs/>
          <w:sz w:val="20"/>
          <w:szCs w:val="20"/>
        </w:rPr>
        <w:t xml:space="preserve">Sur le suivi psychologique : </w:t>
      </w:r>
      <w:r>
        <w:rPr>
          <w:rFonts w:ascii="Arial" w:cs="Arial" w:eastAsia="Arial" w:hAnsi="Arial"/>
          <w:sz w:val="20"/>
          <w:szCs w:val="20"/>
        </w:rPr>
        <w:t xml:space="preserve">garder le point de l'absence d'information d'avril à juillet 2024, mais la partie adverse produit sa pièce 62 (échanges sur le suivi « dès 2023 »). Vérifier son contenu avant de maintenir « sans consultation du père ». Ne pas présenter le recours à une psychologue comme un aveu d'échec éducatif de la mère : le juge y verra une mère qui prend soin de l'enfant. Dire plutôt que le suivi existe, qu'il est utile, que le père y adhère et demande à y être associé (rendez-vous conjoint, compte-rendu aux deux parents).</w:t>
      </w:r>
    </w:p>
    <w:p>
      <w:pPr>
        <w:pStyle w:val="Heading1"/>
        <w:spacing w:after="160" w:before="360"/>
      </w:pPr>
      <w:r>
        <w:rPr>
          <w:rFonts w:ascii="Arial" w:cs="Arial" w:eastAsia="Arial" w:hAnsi="Arial"/>
          <w:b/>
          <w:bCs/>
          <w:color w:val="1F3864"/>
          <w:sz w:val="28"/>
          <w:szCs w:val="28"/>
        </w:rPr>
        <w:t xml:space="preserve">2. Griefs nouveaux des conclusions adverses du 27.10 non traités dans le projet</w:t>
      </w:r>
    </w:p>
    <w:p>
      <w:pPr>
        <w:spacing w:after="120" w:line="276"/>
      </w:pPr>
      <w:r>
        <w:rPr>
          <w:rFonts w:ascii="Arial" w:cs="Arial" w:eastAsia="Arial" w:hAnsi="Arial"/>
          <w:sz w:val="20"/>
          <w:szCs w:val="20"/>
        </w:rPr>
        <w:t xml:space="preserve">Chaque point laissé sans réponse sera tenu pour acquis à l'audience.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438"/>
      </w:tblGrid>
      <w:tr>
        <w:trPr>
          <w:tblHeader/>
        </w:trPr>
        <w:tc>
          <w:tcPr>
            <w:tcW w:type="dxa" w:w="3300"/>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Grief adverse</w:t>
            </w:r>
          </w:p>
        </w:tc>
        <w:tc>
          <w:tcPr>
            <w:tcW w:type="dxa" w:w="900"/>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Pièce adv.</w:t>
            </w:r>
          </w:p>
        </w:tc>
        <w:tc>
          <w:tcPr>
            <w:tcW w:type="dxa" w:w="5438"/>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Réponse à prévoir</w:t>
            </w:r>
          </w:p>
        </w:tc>
      </w:tr>
      <w:tr>
        <w:tc>
          <w:tcPr>
            <w:tcW w:type="dxa" w:w="3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Le père renvoie la mère vers les filles au pair pour organiser les passations et le quotidien ; elle doit gérer « Megan, Jennifer, Alisa »</w:t>
            </w:r>
          </w:p>
        </w:tc>
        <w:tc>
          <w:tcPr>
            <w:tcW w:type="dxa" w:w="9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60</w:t>
            </w:r>
          </w:p>
        </w:tc>
        <w:tc>
          <w:tcPr>
            <w:tcW w:type="dxa" w:w="54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Expliquer la place de la jeune fille au pair (la nounou commune intervient aussi chez la mère, pièce 9) et que les échanges logistiques passent par le père quand c'est nécessaire. Produire quelques échanges directs récents.</w:t>
            </w:r>
          </w:p>
        </w:tc>
      </w:tr>
      <w:tr>
        <w:tc>
          <w:tcPr>
            <w:tcW w:type="dxa" w:w="3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Devoirs « très partiellement réalisés » à l'issue de vacances, carnet non signé (mars, avril, juin, septembre 2026)</w:t>
            </w:r>
          </w:p>
        </w:tc>
        <w:tc>
          <w:tcPr>
            <w:tcW w:type="dxa" w:w="9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61</w:t>
            </w:r>
          </w:p>
        </w:tc>
        <w:tc>
          <w:tcPr>
            <w:tcW w:type="dxa" w:w="54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Répondre point par point avec dates ; si des oublis sont avérés, les reconnaître et montrer le suivi mis en place depuis (PAP, orthophonie).</w:t>
            </w:r>
          </w:p>
        </w:tc>
      </w:tr>
      <w:tr>
        <w:tc>
          <w:tcPr>
            <w:tcW w:type="dxa" w:w="3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Absence aux spectacles de fin d'année</w:t>
            </w:r>
          </w:p>
        </w:tc>
        <w:tc>
          <w:tcPr>
            <w:tcW w:type="dxa" w:w="9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76</w:t>
            </w:r>
          </w:p>
        </w:tc>
        <w:tc>
          <w:tcPr>
            <w:tcW w:type="dxa" w:w="54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Dire lesquels et pourquoi ; lister les événements scolaires et médicaux auxquels le père a assisté. Une attestation de l'école ou un relevé de présence vaut mieux qu'un mail.</w:t>
            </w:r>
          </w:p>
        </w:tc>
      </w:tr>
      <w:tr>
        <w:tc>
          <w:tcPr>
            <w:tcW w:type="dxa" w:w="3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Documents du passeport non transmis malgré relances</w:t>
            </w:r>
          </w:p>
        </w:tc>
        <w:tc>
          <w:tcPr>
            <w:tcW w:type="dxa" w:w="9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59</w:t>
            </w:r>
          </w:p>
        </w:tc>
        <w:tc>
          <w:tcPr>
            <w:tcW w:type="dxa" w:w="54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Chronologie des échanges et date de remise.</w:t>
            </w:r>
          </w:p>
        </w:tc>
      </w:tr>
      <w:tr>
        <w:tc>
          <w:tcPr>
            <w:tcW w:type="dxa" w:w="3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Propos tenus devant Aliénor en janvier 2026 (« ta maman ne t'aime pas », « cochonne comme ta maman »)</w:t>
            </w:r>
          </w:p>
        </w:tc>
        <w:tc>
          <w:tcPr>
            <w:tcW w:type="dxa" w:w="9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77</w:t>
            </w:r>
          </w:p>
        </w:tc>
        <w:tc>
          <w:tcPr>
            <w:tcW w:type="dxa" w:w="54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Contester, et produire des éléments positifs sur la place de la mère dans le foyer paternel (messages respectueux, invitations).</w:t>
            </w:r>
          </w:p>
        </w:tc>
      </w:tr>
      <w:tr>
        <w:tc>
          <w:tcPr>
            <w:tcW w:type="dxa" w:w="3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Mail « déni de réalité… relève de la psychiatrie… ChatGPT »</w:t>
            </w:r>
          </w:p>
        </w:tc>
        <w:tc>
          <w:tcPr>
            <w:tcW w:type="dxa" w:w="9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 adv. 24 »</w:t>
            </w:r>
          </w:p>
        </w:tc>
        <w:tc>
          <w:tcPr>
            <w:tcW w:type="dxa" w:w="54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Vérifier à quoi correspond cette pièce dans le bordereau définitif (dans le projet, la 24 est un avis d'imposition). Si le mail est du père, le contextualiser et proposer un canal apaisé (application de coparentalité, carnet partagé).</w:t>
            </w:r>
          </w:p>
        </w:tc>
      </w:tr>
      <w:tr>
        <w:tc>
          <w:tcPr>
            <w:tcW w:type="dxa" w:w="3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 Simples tapes car Aliénor avait été insolente » (mail du père du 1er novembre 2025)</w:t>
            </w:r>
          </w:p>
        </w:tc>
        <w:tc>
          <w:tcPr>
            <w:tcW w:type="dxa" w:w="9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7</w:t>
            </w:r>
          </w:p>
        </w:tc>
        <w:tc>
          <w:tcPr>
            <w:tcW w:type="dxa" w:w="54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Le projet affirme « jamais de fessées » mais ce mail reconnaît des tapes par la grand-mère en août 2025, et le projet cite lui-même l'article 371-1 qui interdit toute violence physique. Expliquer : qui, une fois, contexte, ce qui a été dit à la grand-mère, aucune récidive. Le silence est pire que l'explication.</w:t>
            </w:r>
          </w:p>
        </w:tc>
      </w:tr>
      <w:tr>
        <w:tc>
          <w:tcPr>
            <w:tcW w:type="dxa" w:w="3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Le père n'aurait « pas été consulté » sur le suivi psychologique : faux selon la mère, informé « dès 2023 »</w:t>
            </w:r>
          </w:p>
        </w:tc>
        <w:tc>
          <w:tcPr>
            <w:tcW w:type="dxa" w:w="9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62</w:t>
            </w:r>
          </w:p>
        </w:tc>
        <w:tc>
          <w:tcPr>
            <w:tcW w:type="dxa" w:w="54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Voir §1.2 point 5.</w:t>
            </w:r>
          </w:p>
        </w:tc>
      </w:tr>
      <w:tr>
        <w:tc>
          <w:tcPr>
            <w:tcW w:type="dxa" w:w="3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Attestations familiales « ponctuelles », nounou en « lien de subordination »</w:t>
            </w:r>
          </w:p>
        </w:tc>
        <w:tc>
          <w:tcPr>
            <w:tcW w:type="dxa" w:w="9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w:t>
            </w:r>
          </w:p>
        </w:tc>
        <w:tc>
          <w:tcPr>
            <w:tcW w:type="dxa" w:w="54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Ajouter des attestations extérieures à la famille et non salariées : parents d'amies d'Aliénor, moniteur de ski ou de tennis, voisin, enseignant d'activité.</w:t>
            </w:r>
          </w:p>
        </w:tc>
      </w:tr>
      <w:tr>
        <w:tc>
          <w:tcPr>
            <w:tcW w:type="dxa" w:w="3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 Mme ne conteste pas les arrangements ponctuels » mais déplore l'absence de coopération quotidienne</w:t>
            </w:r>
          </w:p>
        </w:tc>
        <w:tc>
          <w:tcPr>
            <w:tcW w:type="dxa" w:w="9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w:t>
            </w:r>
          </w:p>
        </w:tc>
        <w:tc>
          <w:tcPr>
            <w:tcW w:type="dxa" w:w="54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Verser le recueil des 149 échanges cordiaux 2023-2026 (document préparé en septembre) comme pièce, avec un index par thème. Le commentaire S1 le demande.</w:t>
            </w:r>
          </w:p>
        </w:tc>
      </w:tr>
      <w:tr>
        <w:tc>
          <w:tcPr>
            <w:tcW w:type="dxa" w:w="3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Mme BAYLE travaillerait (WhatsApp de la nounou du 24 juin 2026)</w:t>
            </w:r>
          </w:p>
        </w:tc>
        <w:tc>
          <w:tcPr>
            <w:tcW w:type="dxa" w:w="9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73</w:t>
            </w:r>
          </w:p>
        </w:tc>
        <w:tc>
          <w:tcPr>
            <w:tcW w:type="dxa" w:w="54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Produire l'attestation employeur du congé parental avec dates et l'attestation CAF (PreParE) le cas échéant. Expliquer ce que la nounou a pu observer.</w:t>
            </w:r>
          </w:p>
        </w:tc>
      </w:tr>
    </w:tbl>
    <w:p>
      <w:pPr>
        <w:pStyle w:val="Heading1"/>
        <w:spacing w:after="160" w:before="360"/>
      </w:pPr>
      <w:r>
        <w:rPr>
          <w:rFonts w:ascii="Arial" w:cs="Arial" w:eastAsia="Arial" w:hAnsi="Arial"/>
          <w:b/>
          <w:bCs/>
          <w:color w:val="1F3864"/>
          <w:sz w:val="28"/>
          <w:szCs w:val="28"/>
        </w:rPr>
        <w:t xml:space="preserve">3. Partie financière : corrections obligatoires et compléments</w:t>
      </w:r>
    </w:p>
    <w:p>
      <w:pPr>
        <w:pStyle w:val="Heading2"/>
        <w:spacing w:after="120" w:before="240"/>
      </w:pPr>
      <w:r>
        <w:rPr>
          <w:rFonts w:ascii="Arial" w:cs="Arial" w:eastAsia="Arial" w:hAnsi="Arial"/>
          <w:b/>
          <w:bCs/>
          <w:color w:val="1F3864"/>
          <w:sz w:val="23"/>
          <w:szCs w:val="23"/>
        </w:rPr>
        <w:t xml:space="preserve">3.1 Erreurs à corriger dans le projet</w:t>
      </w:r>
    </w:p>
    <w:p>
      <w:pPr>
        <w:pStyle w:val="ListParagraph"/>
        <w:numPr>
          <w:ilvl w:val="0"/>
          <w:numId w:val="2"/>
        </w:numPr>
        <w:spacing w:after="80" w:line="276"/>
      </w:pPr>
      <w:r>
        <w:rPr>
          <w:rFonts w:ascii="Arial" w:cs="Arial" w:eastAsia="Arial" w:hAnsi="Arial"/>
          <w:b/>
          <w:bCs/>
          <w:sz w:val="20"/>
          <w:szCs w:val="20"/>
        </w:rPr>
        <w:t xml:space="preserve">Revenus 2026 : </w:t>
      </w:r>
      <w:r>
        <w:rPr>
          <w:rFonts w:ascii="Arial" w:cs="Arial" w:eastAsia="Arial" w:hAnsi="Arial"/>
          <w:sz w:val="20"/>
          <w:szCs w:val="20"/>
        </w:rPr>
        <w:t xml:space="preserve">92 198,33 € sur 8 mois = 11 524,79 €/mois, et non 7 683,19 € (division par 12). La partie adverse l'a relevé. Retirer la phrase « revenus mensuels diminués de manière conséquente » appuyée sur ce chiffre.</w:t>
      </w:r>
    </w:p>
    <w:p>
      <w:pPr>
        <w:pStyle w:val="ListParagraph"/>
        <w:numPr>
          <w:ilvl w:val="0"/>
          <w:numId w:val="2"/>
        </w:numPr>
        <w:spacing w:after="80" w:line="276"/>
      </w:pPr>
      <w:r>
        <w:rPr>
          <w:rFonts w:ascii="Arial" w:cs="Arial" w:eastAsia="Arial" w:hAnsi="Arial"/>
          <w:b/>
          <w:bCs/>
          <w:sz w:val="20"/>
          <w:szCs w:val="20"/>
        </w:rPr>
        <w:t xml:space="preserve">Total des charges : </w:t>
      </w:r>
      <w:r>
        <w:rPr>
          <w:rFonts w:ascii="Arial" w:cs="Arial" w:eastAsia="Arial" w:hAnsi="Arial"/>
          <w:sz w:val="20"/>
          <w:szCs w:val="20"/>
        </w:rPr>
        <w:t xml:space="preserve">7 681,01 €, et non 7 375,76 € (la ligne scolarité de 305,25 € est listée mais pas additionnée). Disponible réel : 3 300 €, et non 3 605 €.</w:t>
      </w:r>
    </w:p>
    <w:p>
      <w:pPr>
        <w:pStyle w:val="ListParagraph"/>
        <w:numPr>
          <w:ilvl w:val="0"/>
          <w:numId w:val="2"/>
        </w:numPr>
        <w:spacing w:after="80" w:line="276"/>
      </w:pPr>
      <w:r>
        <w:rPr>
          <w:rFonts w:ascii="Arial" w:cs="Arial" w:eastAsia="Arial" w:hAnsi="Arial"/>
          <w:b/>
          <w:bCs/>
          <w:sz w:val="20"/>
          <w:szCs w:val="20"/>
        </w:rPr>
        <w:t xml:space="preserve">Assurance habitation : </w:t>
      </w:r>
      <w:r>
        <w:rPr>
          <w:rFonts w:ascii="Arial" w:cs="Arial" w:eastAsia="Arial" w:hAnsi="Arial"/>
          <w:sz w:val="20"/>
          <w:szCs w:val="20"/>
        </w:rPr>
        <w:t xml:space="preserve">« .. € » à compléter (commentaire S5).</w:t>
      </w:r>
    </w:p>
    <w:p>
      <w:pPr>
        <w:pStyle w:val="ListParagraph"/>
        <w:numPr>
          <w:ilvl w:val="0"/>
          <w:numId w:val="2"/>
        </w:numPr>
        <w:spacing w:after="80" w:line="276"/>
      </w:pPr>
      <w:r>
        <w:rPr>
          <w:rFonts w:ascii="Arial" w:cs="Arial" w:eastAsia="Arial" w:hAnsi="Arial"/>
          <w:b/>
          <w:bCs/>
          <w:sz w:val="20"/>
          <w:szCs w:val="20"/>
        </w:rPr>
        <w:t xml:space="preserve">Pension : </w:t>
      </w:r>
      <w:r>
        <w:rPr>
          <w:rFonts w:ascii="Arial" w:cs="Arial" w:eastAsia="Arial" w:hAnsi="Arial"/>
          <w:sz w:val="20"/>
          <w:szCs w:val="20"/>
        </w:rPr>
        <w:t xml:space="preserve">2 570 € dans le projet, 2 600 € dans le tableau de retraitement. Retenir un seul chiffre indexé, avec le calcul.</w:t>
      </w:r>
    </w:p>
    <w:p>
      <w:pPr>
        <w:pStyle w:val="ListParagraph"/>
        <w:numPr>
          <w:ilvl w:val="0"/>
          <w:numId w:val="2"/>
        </w:numPr>
        <w:spacing w:after="80" w:line="276"/>
      </w:pPr>
      <w:r>
        <w:rPr>
          <w:rFonts w:ascii="Arial" w:cs="Arial" w:eastAsia="Arial" w:hAnsi="Arial"/>
          <w:b/>
          <w:bCs/>
          <w:sz w:val="20"/>
          <w:szCs w:val="20"/>
        </w:rPr>
        <w:t xml:space="preserve">Charge de logement : </w:t>
      </w:r>
      <w:r>
        <w:rPr>
          <w:rFonts w:ascii="Arial" w:cs="Arial" w:eastAsia="Arial" w:hAnsi="Arial"/>
          <w:sz w:val="20"/>
          <w:szCs w:val="20"/>
        </w:rPr>
        <w:t xml:space="preserve">aucune dans le projet, alors que Mme GRAMOND déduit 2 455,69 € de crédit immobilier. Si un loyer, un crédit ou une redevance est payé pour le 20 rue de Messine, l'indiquer avec justificatif ; sinon le juge en déduira un logement gratuit par une société, ce qui alimente le chapitre « opacité ».</w:t>
      </w:r>
    </w:p>
    <w:p>
      <w:pPr>
        <w:pStyle w:val="ListParagraph"/>
        <w:numPr>
          <w:ilvl w:val="0"/>
          <w:numId w:val="2"/>
        </w:numPr>
        <w:spacing w:after="80" w:line="276"/>
      </w:pPr>
      <w:r>
        <w:rPr>
          <w:rFonts w:ascii="Arial" w:cs="Arial" w:eastAsia="Arial" w:hAnsi="Arial"/>
          <w:b/>
          <w:bCs/>
          <w:sz w:val="20"/>
          <w:szCs w:val="20"/>
        </w:rPr>
        <w:t xml:space="preserve">Montants « XXX » : </w:t>
      </w:r>
      <w:r>
        <w:rPr>
          <w:rFonts w:ascii="Arial" w:cs="Arial" w:eastAsia="Arial" w:hAnsi="Arial"/>
          <w:sz w:val="20"/>
          <w:szCs w:val="20"/>
        </w:rPr>
        <w:t xml:space="preserve">contribution demandée à titre principal et subsidiaire (commentaires S8, S9). Pour mémoire, la table de référence du ministère donne, pour 10 981 €/mois et un enfant, environ 930 € en résidence alternée et 1 400 € en résidence chez la mère. Une demande entre 1 200 et 1 500 € en alternance est défendable au regard du barème tout en tenant compte du niveau de vie antérieur.</w:t>
      </w:r>
    </w:p>
    <w:p>
      <w:pPr>
        <w:pStyle w:val="Heading2"/>
        <w:spacing w:after="120" w:before="240"/>
      </w:pPr>
      <w:r>
        <w:rPr>
          <w:rFonts w:ascii="Arial" w:cs="Arial" w:eastAsia="Arial" w:hAnsi="Arial"/>
          <w:b/>
          <w:bCs/>
          <w:color w:val="1F3864"/>
          <w:sz w:val="23"/>
          <w:szCs w:val="23"/>
        </w:rPr>
        <w:t xml:space="preserve">3.2 Chapitre adverse « Sociétés et opacité » : à ne pas laisser sans réponse</w:t>
      </w:r>
    </w:p>
    <w:p>
      <w:pPr>
        <w:spacing w:after="120" w:line="276"/>
      </w:pPr>
      <w:r>
        <w:rPr>
          <w:rFonts w:ascii="Arial" w:cs="Arial" w:eastAsia="Arial" w:hAnsi="Arial"/>
          <w:sz w:val="20"/>
          <w:szCs w:val="20"/>
        </w:rPr>
        <w:t xml:space="preserve">La partie adverse liste quinze sociétés (sa pièce 71) et une sommation de communiquer du 23 octobre (sa pièce 72). Le jugement de 2023 relevait déjà l'absence de « tout élément quant à sa situation financière récente ». Un second silence sera lu comme une dissimulation et le juge fixera la pension sur une capacité contributive présumée.</w:t>
      </w:r>
    </w:p>
    <w:p>
      <w:pPr>
        <w:spacing w:after="120" w:line="276"/>
      </w:pPr>
      <w:r>
        <w:rPr>
          <w:rFonts w:ascii="Arial" w:cs="Arial" w:eastAsia="Arial" w:hAnsi="Arial"/>
          <w:b/>
          <w:bCs/>
          <w:sz w:val="20"/>
          <w:szCs w:val="20"/>
        </w:rPr>
        <w:t xml:space="preserve">À produire ou expliquer.</w:t>
      </w:r>
    </w:p>
    <w:p>
      <w:pPr>
        <w:pStyle w:val="ListParagraph"/>
        <w:numPr>
          <w:ilvl w:val="0"/>
          <w:numId w:val="2"/>
        </w:numPr>
        <w:spacing w:after="80" w:line="276"/>
      </w:pPr>
      <w:r>
        <w:rPr>
          <w:rFonts w:ascii="Arial" w:cs="Arial" w:eastAsia="Arial" w:hAnsi="Arial"/>
          <w:sz w:val="20"/>
          <w:szCs w:val="20"/>
        </w:rPr>
        <w:t xml:space="preserve">Pour chaque société : nature (SCI familiale, indivision successorale, holding), part détenue, gérance rémunérée ou non, distributions des trois dernières années, ou attestation du comptable qu'il n'y en a pas eu.</w:t>
      </w:r>
    </w:p>
    <w:p>
      <w:pPr>
        <w:pStyle w:val="ListParagraph"/>
        <w:numPr>
          <w:ilvl w:val="0"/>
          <w:numId w:val="2"/>
        </w:numPr>
        <w:spacing w:after="80" w:line="276"/>
      </w:pPr>
      <w:r>
        <w:rPr>
          <w:rFonts w:ascii="Arial" w:cs="Arial" w:eastAsia="Arial" w:hAnsi="Arial"/>
          <w:sz w:val="20"/>
          <w:szCs w:val="20"/>
        </w:rPr>
        <w:t xml:space="preserve">L'explication de la chute des revenus fonciers de 84 596 € (2021) à 1 657 € (2025) : vente, apport à AENOR INVEST, travaux, vacance locative. Sans explication, la thèse adverse (« capital dégagé et placé ») prospère.</w:t>
      </w:r>
    </w:p>
    <w:p>
      <w:pPr>
        <w:pStyle w:val="ListParagraph"/>
        <w:numPr>
          <w:ilvl w:val="0"/>
          <w:numId w:val="2"/>
        </w:numPr>
        <w:spacing w:after="80" w:line="276"/>
      </w:pPr>
      <w:r>
        <w:rPr>
          <w:rFonts w:ascii="Arial" w:cs="Arial" w:eastAsia="Arial" w:hAnsi="Arial"/>
          <w:sz w:val="20"/>
          <w:szCs w:val="20"/>
        </w:rPr>
        <w:t xml:space="preserve">Le rachat de parts MESSINE INVEST (2024) et la cession MASSY BOURGOGNE (2021) : nature, montant réellement perçu, emploi des fonds.</w:t>
      </w:r>
    </w:p>
    <w:p>
      <w:pPr>
        <w:pStyle w:val="ListParagraph"/>
        <w:numPr>
          <w:ilvl w:val="0"/>
          <w:numId w:val="2"/>
        </w:numPr>
        <w:spacing w:after="80" w:line="276"/>
      </w:pPr>
      <w:r>
        <w:rPr>
          <w:rFonts w:ascii="Arial" w:cs="Arial" w:eastAsia="Arial" w:hAnsi="Arial"/>
          <w:sz w:val="20"/>
          <w:szCs w:val="20"/>
        </w:rPr>
        <w:t xml:space="preserve">Les avis d'imposition 2023 à 2026 complets, pages revenus de capitaux mobiliers et plus-values incluses, et non la seule page salaires.</w:t>
      </w:r>
    </w:p>
    <w:p>
      <w:pPr>
        <w:pStyle w:val="ListParagraph"/>
        <w:numPr>
          <w:ilvl w:val="0"/>
          <w:numId w:val="2"/>
        </w:numPr>
        <w:spacing w:after="80" w:line="276"/>
      </w:pPr>
      <w:r>
        <w:rPr>
          <w:rFonts w:ascii="Arial" w:cs="Arial" w:eastAsia="Arial" w:hAnsi="Arial"/>
          <w:sz w:val="20"/>
          <w:szCs w:val="20"/>
        </w:rPr>
        <w:t xml:space="preserve">La SA suisse : fonction, rémunération ou non.</w:t>
      </w:r>
    </w:p>
    <w:p>
      <w:pPr>
        <w:pStyle w:val="Heading2"/>
        <w:spacing w:after="120" w:before="240"/>
      </w:pPr>
      <w:r>
        <w:rPr>
          <w:rFonts w:ascii="Arial" w:cs="Arial" w:eastAsia="Arial" w:hAnsi="Arial"/>
          <w:b/>
          <w:bCs/>
          <w:color w:val="1F3864"/>
          <w:sz w:val="23"/>
          <w:szCs w:val="23"/>
        </w:rPr>
        <w:t xml:space="preserve">3.3 Retraitements des charges de la mère à argumenter dans les conclusions</w:t>
      </w:r>
    </w:p>
    <w:p>
      <w:pPr>
        <w:spacing w:after="120" w:line="276"/>
      </w:pPr>
      <w:r>
        <w:rPr>
          <w:rFonts w:ascii="Arial" w:cs="Arial" w:eastAsia="Arial" w:hAnsi="Arial"/>
          <w:sz w:val="20"/>
          <w:szCs w:val="20"/>
        </w:rPr>
        <w:t xml:space="preserve">Le tableau Excel joint les chiffre ; les conclusions doivent les motiver.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5538"/>
      </w:tblGrid>
      <w:tr>
        <w:trPr>
          <w:tblHeader/>
        </w:trPr>
        <w:tc>
          <w:tcPr>
            <w:tcW w:type="dxa" w:w="2800"/>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Retraitement</w:t>
            </w:r>
          </w:p>
        </w:tc>
        <w:tc>
          <w:tcPr>
            <w:tcW w:type="dxa" w:w="1300"/>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Montant</w:t>
            </w:r>
          </w:p>
        </w:tc>
        <w:tc>
          <w:tcPr>
            <w:tcW w:type="dxa" w:w="5538"/>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Argument</w:t>
            </w:r>
          </w:p>
        </w:tc>
      </w:tr>
      <w:tr>
        <w:tc>
          <w:tcPr>
            <w:tcW w:type="dxa" w:w="28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Pension perçue absente de ses ressources</w:t>
            </w:r>
          </w:p>
        </w:tc>
        <w:tc>
          <w:tcPr>
            <w:tcW w:type="dxa" w:w="1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+ 2 600 €</w:t>
            </w:r>
          </w:p>
        </w:tc>
        <w:tc>
          <w:tcPr>
            <w:tcW w:type="dxa" w:w="55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Disponible réel d'environ 3 800 € et non −359 €.</w:t>
            </w:r>
          </w:p>
        </w:tc>
      </w:tr>
      <w:tr>
        <w:tc>
          <w:tcPr>
            <w:tcW w:type="dxa" w:w="28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Crédit immobilier</w:t>
            </w:r>
          </w:p>
        </w:tc>
        <w:tc>
          <w:tcPr>
            <w:tcW w:type="dxa" w:w="1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− 913 €</w:t>
            </w:r>
          </w:p>
        </w:tc>
        <w:tc>
          <w:tcPr>
            <w:tcW w:type="dxa" w:w="55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Capitalisation sur un bien dont elle est propriétaire ; seule la part équivalant à un loyer est une charge.</w:t>
            </w:r>
          </w:p>
        </w:tc>
      </w:tr>
      <w:tr>
        <w:tc>
          <w:tcPr>
            <w:tcW w:type="dxa" w:w="28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Crédit à la consommation</w:t>
            </w:r>
          </w:p>
        </w:tc>
        <w:tc>
          <w:tcPr>
            <w:tcW w:type="dxa" w:w="1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− 400 €</w:t>
            </w:r>
          </w:p>
        </w:tc>
        <w:tc>
          <w:tcPr>
            <w:tcW w:type="dxa" w:w="55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Apparu entre juin et octobre 2026, objet non précisé (sa pièce 70).</w:t>
            </w:r>
          </w:p>
        </w:tc>
      </w:tr>
      <w:tr>
        <w:tc>
          <w:tcPr>
            <w:tcW w:type="dxa" w:w="28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Complémentaire et surcomplémentaire santé</w:t>
            </w:r>
          </w:p>
        </w:tc>
        <w:tc>
          <w:tcPr>
            <w:tcW w:type="dxa" w:w="1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− 244,62 €</w:t>
            </w:r>
          </w:p>
        </w:tc>
        <w:tc>
          <w:tcPr>
            <w:tcW w:type="dxa" w:w="55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Dépenses de confort, nouvelles entre juin et octobre.</w:t>
            </w:r>
          </w:p>
        </w:tc>
      </w:tr>
      <w:tr>
        <w:tc>
          <w:tcPr>
            <w:tcW w:type="dxa" w:w="28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Impôt sur le revenu</w:t>
            </w:r>
          </w:p>
        </w:tc>
        <w:tc>
          <w:tcPr>
            <w:tcW w:type="dxa" w:w="1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à discuter</w:t>
            </w:r>
          </w:p>
        </w:tc>
        <w:tc>
          <w:tcPr>
            <w:tcW w:type="dxa" w:w="55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Passé de 390,75 € à 1 251,33 €/mois entre ses deux écritures sans explication.</w:t>
            </w:r>
          </w:p>
        </w:tc>
      </w:tr>
      <w:tr>
        <w:tc>
          <w:tcPr>
            <w:tcW w:type="dxa" w:w="28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Frais de garde</w:t>
            </w:r>
          </w:p>
        </w:tc>
        <w:tc>
          <w:tcPr>
            <w:tcW w:type="dxa" w:w="1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à discuter</w:t>
            </w:r>
          </w:p>
        </w:tc>
        <w:tc>
          <w:tcPr>
            <w:tcW w:type="dxa" w:w="55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Elle admet au §13 que les CESU couvrent aussi du ménage, mais compte 907 €/mois intégralement pour Aliénor et annonce qu'ils « doubleront ».</w:t>
            </w:r>
          </w:p>
        </w:tc>
      </w:tr>
      <w:tr>
        <w:tc>
          <w:tcPr>
            <w:tcW w:type="dxa" w:w="28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Prêt HEC</w:t>
            </w:r>
          </w:p>
        </w:tc>
        <w:tc>
          <w:tcPr>
            <w:tcW w:type="dxa" w:w="1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845,68 €</w:t>
            </w:r>
          </w:p>
        </w:tc>
        <w:tc>
          <w:tcPr>
            <w:tcW w:type="dxa" w:w="55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Choix personnel, sans lien avec l'enfant.</w:t>
            </w:r>
          </w:p>
        </w:tc>
      </w:tr>
      <w:tr>
        <w:tc>
          <w:tcPr>
            <w:tcW w:type="dxa" w:w="28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Contradiction interne</w:t>
            </w:r>
          </w:p>
        </w:tc>
        <w:tc>
          <w:tcPr>
            <w:tcW w:type="dxa" w:w="1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w:t>
            </w:r>
          </w:p>
        </w:tc>
        <w:tc>
          <w:tcPr>
            <w:tcW w:type="dxa" w:w="55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 Pleine disponibilité » (§16) et « frais de garde qui doubleront » (§30).</w:t>
            </w:r>
          </w:p>
        </w:tc>
      </w:tr>
    </w:tbl>
    <w:p>
      <w:pPr>
        <w:pStyle w:val="Heading1"/>
        <w:spacing w:after="160" w:before="360"/>
      </w:pPr>
      <w:r>
        <w:rPr>
          <w:rFonts w:ascii="Arial" w:cs="Arial" w:eastAsia="Arial" w:hAnsi="Arial"/>
          <w:b/>
          <w:bCs/>
          <w:color w:val="1F3864"/>
          <w:sz w:val="28"/>
          <w:szCs w:val="28"/>
        </w:rPr>
        <w:t xml:space="preserve">4. Trous du projet à combler (commentaires de l'avocate)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tblHeader/>
        </w:trPr>
        <w:tc>
          <w:tcPr>
            <w:tcW w:type="dxa" w:w="900"/>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Comm.</w:t>
            </w:r>
          </w:p>
        </w:tc>
        <w:tc>
          <w:tcPr>
            <w:tcW w:type="dxa" w:w="3300"/>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Objet</w:t>
            </w:r>
          </w:p>
        </w:tc>
        <w:tc>
          <w:tcPr>
            <w:tcW w:type="dxa" w:w="5438"/>
            <w:shd w:fill="1F3864" w:color="auto" w:val="clear"/>
            <w:tcMar>
              <w:top w:type="dxa" w:w="60"/>
              <w:left w:type="dxa" w:w="90"/>
              <w:bottom w:type="dxa" w:w="60"/>
              <w:right w:type="dxa" w:w="90"/>
            </w:tcMar>
          </w:tcPr>
          <w:p>
            <w:pPr>
              <w:spacing w:after="0" w:line="252"/>
            </w:pPr>
            <w:r>
              <w:rPr>
                <w:rFonts w:ascii="Arial" w:cs="Arial" w:eastAsia="Arial" w:hAnsi="Arial"/>
                <w:b/>
                <w:bCs/>
                <w:color w:val="FFFFFF"/>
                <w:sz w:val="18"/>
                <w:szCs w:val="18"/>
              </w:rPr>
              <w:t xml:space="preserve">Proposition</w:t>
            </w:r>
          </w:p>
        </w:tc>
      </w:tr>
      <w:tr>
        <w:tc>
          <w:tcPr>
            <w:tcW w:type="dxa" w:w="9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S1</w:t>
            </w:r>
          </w:p>
        </w:tc>
        <w:tc>
          <w:tcPr>
            <w:tcW w:type="dxa" w:w="3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Exemples de mails où les parents s'entendent</w:t>
            </w:r>
          </w:p>
        </w:tc>
        <w:tc>
          <w:tcPr>
            <w:tcW w:type="dxa" w:w="54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Recueil des 149 échanges cordiaux 2023-2026 à verser.</w:t>
            </w:r>
          </w:p>
        </w:tc>
      </w:tr>
      <w:tr>
        <w:tc>
          <w:tcPr>
            <w:tcW w:type="dxa" w:w="9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S2</w:t>
            </w:r>
          </w:p>
        </w:tc>
        <w:tc>
          <w:tcPr>
            <w:tcW w:type="dxa" w:w="3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Échanges complets sur l'horaire de passation du 16 août 2025</w:t>
            </w:r>
          </w:p>
        </w:tc>
        <w:tc>
          <w:tcPr>
            <w:tcW w:type="dxa" w:w="54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Transmettre l'intégralité des échanges, pas seulement les mails du père.</w:t>
            </w:r>
          </w:p>
        </w:tc>
      </w:tr>
      <w:tr>
        <w:tc>
          <w:tcPr>
            <w:tcW w:type="dxa" w:w="9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S3</w:t>
            </w:r>
          </w:p>
        </w:tc>
        <w:tc>
          <w:tcPr>
            <w:tcW w:type="dxa" w:w="3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Demande subsidiaire de DVH élargi</w:t>
            </w:r>
          </w:p>
        </w:tc>
        <w:tc>
          <w:tcPr>
            <w:tcW w:type="dxa" w:w="54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À chiffrer. Proposition : fins de semaines paires du jeudi sortie des classes au lundi rentrée, plus chaque mercredi ou jeudi soir avec nuitée, plus moitié des vacances. Sans demande subsidiaire précise, le juge retiendra la proposition adverse (vendredi-lundi).</w:t>
            </w:r>
          </w:p>
        </w:tc>
      </w:tr>
      <w:tr>
        <w:tc>
          <w:tcPr>
            <w:tcW w:type="dxa" w:w="9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S4</w:t>
            </w:r>
          </w:p>
        </w:tc>
        <w:tc>
          <w:tcPr>
            <w:tcW w:type="dxa" w:w="3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Les frais de scolarité sont-ils couverts par le plafond de 2 500 € ?</w:t>
            </w:r>
          </w:p>
        </w:tc>
        <w:tc>
          <w:tcPr>
            <w:tcW w:type="dxa" w:w="54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À confirmer avec les factures Fénelon (3 663 € selon la pièce 34, donc plafond dépassé).</w:t>
            </w:r>
          </w:p>
        </w:tc>
      </w:tr>
      <w:tr>
        <w:tc>
          <w:tcPr>
            <w:tcW w:type="dxa" w:w="9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S5</w:t>
            </w:r>
          </w:p>
        </w:tc>
        <w:tc>
          <w:tcPr>
            <w:tcW w:type="dxa" w:w="3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Autres assurances (auto, vie, scolaire)</w:t>
            </w:r>
          </w:p>
        </w:tc>
        <w:tc>
          <w:tcPr>
            <w:tcW w:type="dxa" w:w="54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À lister avec justificatifs.</w:t>
            </w:r>
          </w:p>
        </w:tc>
      </w:tr>
      <w:tr>
        <w:tc>
          <w:tcPr>
            <w:tcW w:type="dxa" w:w="9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S6</w:t>
            </w:r>
          </w:p>
        </w:tc>
        <w:tc>
          <w:tcPr>
            <w:tcW w:type="dxa" w:w="3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Prise en charge de 50 % des activités (piscine, gym)</w:t>
            </w:r>
          </w:p>
        </w:tc>
        <w:tc>
          <w:tcPr>
            <w:tcW w:type="dxa" w:w="54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À confirmer.</w:t>
            </w:r>
          </w:p>
        </w:tc>
      </w:tr>
      <w:tr>
        <w:tc>
          <w:tcPr>
            <w:tcW w:type="dxa" w:w="9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S7</w:t>
            </w:r>
          </w:p>
        </w:tc>
        <w:tc>
          <w:tcPr>
            <w:tcW w:type="dxa" w:w="3300"/>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Pièces fille au pair (salaire, charges)</w:t>
            </w:r>
          </w:p>
        </w:tc>
        <w:tc>
          <w:tcPr>
            <w:tcW w:type="dxa" w:w="5438"/>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À transmettre ; vérifier le double emploi avec la pièce 35 (frais de garde 14 923,67 €) dénoncé par la partie adverse.</w:t>
            </w:r>
          </w:p>
        </w:tc>
      </w:tr>
      <w:tr>
        <w:tc>
          <w:tcPr>
            <w:tcW w:type="dxa" w:w="9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S8, S9</w:t>
            </w:r>
          </w:p>
        </w:tc>
        <w:tc>
          <w:tcPr>
            <w:tcW w:type="dxa" w:w="3300"/>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Montant de la contribution (principal et subsidiaire)</w:t>
            </w:r>
          </w:p>
        </w:tc>
        <w:tc>
          <w:tcPr>
            <w:tcW w:type="dxa" w:w="5438"/>
            <w:shd w:fill="F2F2F2" w:color="auto" w:val="clear"/>
            <w:tcMar>
              <w:top w:type="dxa" w:w="60"/>
              <w:left w:type="dxa" w:w="90"/>
              <w:bottom w:type="dxa" w:w="60"/>
              <w:right w:type="dxa" w:w="90"/>
            </w:tcMar>
          </w:tcPr>
          <w:p>
            <w:pPr>
              <w:spacing w:after="0" w:line="252"/>
            </w:pPr>
            <w:r>
              <w:rPr>
                <w:rFonts w:ascii="Arial" w:cs="Arial" w:eastAsia="Arial" w:hAnsi="Arial"/>
                <w:b w:val="false"/>
                <w:bCs w:val="false"/>
                <w:sz w:val="18"/>
                <w:szCs w:val="18"/>
              </w:rPr>
              <w:t xml:space="preserve">À fixer (voir §3.1).</w:t>
            </w:r>
          </w:p>
        </w:tc>
      </w:tr>
    </w:tbl>
    <w:p>
      <w:pPr>
        <w:pStyle w:val="Heading1"/>
        <w:spacing w:after="160" w:before="360"/>
      </w:pPr>
      <w:r>
        <w:rPr>
          <w:rFonts w:ascii="Arial" w:cs="Arial" w:eastAsia="Arial" w:hAnsi="Arial"/>
          <w:b/>
          <w:bCs/>
          <w:color w:val="1F3864"/>
          <w:sz w:val="28"/>
          <w:szCs w:val="28"/>
        </w:rPr>
        <w:t xml:space="preserve">5. Procédure et stratégie</w:t>
      </w:r>
    </w:p>
    <w:p>
      <w:pPr>
        <w:pStyle w:val="ListParagraph"/>
        <w:numPr>
          <w:ilvl w:val="0"/>
          <w:numId w:val="2"/>
        </w:numPr>
        <w:spacing w:after="80" w:line="276"/>
      </w:pPr>
      <w:r>
        <w:rPr>
          <w:rFonts w:ascii="Arial" w:cs="Arial" w:eastAsia="Arial" w:hAnsi="Arial"/>
          <w:b/>
          <w:bCs/>
          <w:sz w:val="20"/>
          <w:szCs w:val="20"/>
        </w:rPr>
        <w:t xml:space="preserve">Pièces tardives. </w:t>
      </w:r>
      <w:r>
        <w:rPr>
          <w:rFonts w:ascii="Arial" w:cs="Arial" w:eastAsia="Arial" w:hAnsi="Arial"/>
          <w:sz w:val="20"/>
          <w:szCs w:val="20"/>
        </w:rPr>
        <w:t xml:space="preserve">23 pièces nouvelles (58 à 80) et une sommation datée du 23 octobre, reçues le 27 pour une audience le 30. La convocation du greffe exigeait les pièces financières un mois avant l'audience. Demander qu'elles soient écartées des débats ou, à défaut, un renvoi pour y répondre. Le point doit être soulevé avant toute défense au fond.</w:t>
      </w:r>
    </w:p>
    <w:p>
      <w:pPr>
        <w:pStyle w:val="ListParagraph"/>
        <w:numPr>
          <w:ilvl w:val="0"/>
          <w:numId w:val="2"/>
        </w:numPr>
        <w:spacing w:after="80" w:line="276"/>
      </w:pPr>
      <w:r>
        <w:rPr>
          <w:rFonts w:ascii="Arial" w:cs="Arial" w:eastAsia="Arial" w:hAnsi="Arial"/>
          <w:b/>
          <w:bCs/>
          <w:sz w:val="20"/>
          <w:szCs w:val="20"/>
        </w:rPr>
        <w:t xml:space="preserve">Audition de l'enfant (article 388-1). </w:t>
      </w:r>
      <w:r>
        <w:rPr>
          <w:rFonts w:ascii="Arial" w:cs="Arial" w:eastAsia="Arial" w:hAnsi="Arial"/>
          <w:sz w:val="20"/>
          <w:szCs w:val="20"/>
        </w:rPr>
        <w:t xml:space="preserve">La convocation impose d'aviser Aliénor de son droit à être entendue et de produire une attestation sur l'honneur. Vérifier que c'est fait et versé. Aliénor a 8 ans et demi ; une demande d'audition de sa part serait de droit.</w:t>
      </w:r>
    </w:p>
    <w:p>
      <w:pPr>
        <w:pStyle w:val="ListParagraph"/>
        <w:numPr>
          <w:ilvl w:val="0"/>
          <w:numId w:val="2"/>
        </w:numPr>
        <w:spacing w:after="80" w:line="276"/>
      </w:pPr>
      <w:r>
        <w:rPr>
          <w:rFonts w:ascii="Arial" w:cs="Arial" w:eastAsia="Arial" w:hAnsi="Arial"/>
          <w:b/>
          <w:bCs/>
          <w:sz w:val="20"/>
          <w:szCs w:val="20"/>
        </w:rPr>
        <w:t xml:space="preserve">Médiation. </w:t>
      </w:r>
      <w:r>
        <w:rPr>
          <w:rFonts w:ascii="Arial" w:cs="Arial" w:eastAsia="Arial" w:hAnsi="Arial"/>
          <w:sz w:val="20"/>
          <w:szCs w:val="20"/>
        </w:rPr>
        <w:t xml:space="preserve">Le jugement de 2023 enjoignait de rencontrer un médiateur ; le mail du 17 août 2025 indique que la mère a refusé de la prolonger. Demander une nouvelle injonction de médiation et, le cas échéant, un accompagnement par un espace de coparentalité : signal de bonne foi qui contraste avec la demande adverse de réduction du lien.</w:t>
      </w:r>
    </w:p>
    <w:p>
      <w:pPr>
        <w:pStyle w:val="ListParagraph"/>
        <w:numPr>
          <w:ilvl w:val="0"/>
          <w:numId w:val="2"/>
        </w:numPr>
        <w:spacing w:after="80" w:line="276"/>
      </w:pPr>
      <w:r>
        <w:rPr>
          <w:rFonts w:ascii="Arial" w:cs="Arial" w:eastAsia="Arial" w:hAnsi="Arial"/>
          <w:b/>
          <w:bCs/>
          <w:sz w:val="20"/>
          <w:szCs w:val="20"/>
        </w:rPr>
        <w:t xml:space="preserve">Rattachement fiscal. </w:t>
      </w:r>
      <w:r>
        <w:rPr>
          <w:rFonts w:ascii="Arial" w:cs="Arial" w:eastAsia="Arial" w:hAnsi="Arial"/>
          <w:sz w:val="20"/>
          <w:szCs w:val="20"/>
        </w:rPr>
        <w:t xml:space="preserve">En résidence alternée, la majoration de quotient familial se partage par moitié de plein droit. Le juge de 2023 a débouté la demande ; vérifier si elle est redemandée et sur quel fondement.</w:t>
      </w:r>
    </w:p>
    <w:p>
      <w:pPr>
        <w:pStyle w:val="ListParagraph"/>
        <w:numPr>
          <w:ilvl w:val="0"/>
          <w:numId w:val="2"/>
        </w:numPr>
        <w:spacing w:after="80" w:line="276"/>
      </w:pPr>
      <w:r>
        <w:rPr>
          <w:rFonts w:ascii="Arial" w:cs="Arial" w:eastAsia="Arial" w:hAnsi="Arial"/>
          <w:b/>
          <w:bCs/>
          <w:sz w:val="20"/>
          <w:szCs w:val="20"/>
        </w:rPr>
        <w:t xml:space="preserve">Mesure d'instruction. </w:t>
      </w:r>
      <w:r>
        <w:rPr>
          <w:rFonts w:ascii="Arial" w:cs="Arial" w:eastAsia="Arial" w:hAnsi="Arial"/>
          <w:sz w:val="20"/>
          <w:szCs w:val="20"/>
        </w:rPr>
        <w:t xml:space="preserve">Si la mère maintient les allégations de violences, le père peut proposer lui-même une enquête sociale ou une expertise médico-psychologique de la famille. À double tranchant, à décider ensemble ; le proposer démontre qu'il n'a rien à cacher, là où la mère se contente d'attestations d'amis.</w:t>
      </w:r>
    </w:p>
    <w:p>
      <w:pPr>
        <w:pStyle w:val="ListParagraph"/>
        <w:numPr>
          <w:ilvl w:val="0"/>
          <w:numId w:val="2"/>
        </w:numPr>
        <w:spacing w:after="80" w:line="276"/>
      </w:pPr>
      <w:r>
        <w:rPr>
          <w:rFonts w:ascii="Arial" w:cs="Arial" w:eastAsia="Arial" w:hAnsi="Arial"/>
          <w:b/>
          <w:bCs/>
          <w:sz w:val="20"/>
          <w:szCs w:val="20"/>
        </w:rPr>
        <w:t xml:space="preserve">Ton des écritures. </w:t>
      </w:r>
      <w:r>
        <w:rPr>
          <w:rFonts w:ascii="Arial" w:cs="Arial" w:eastAsia="Arial" w:hAnsi="Arial"/>
          <w:sz w:val="20"/>
          <w:szCs w:val="20"/>
        </w:rPr>
        <w:t xml:space="preserve">La partie adverse a construit son dossier sur les mails du père (ses pièces 6 et 20 : « venin », « tu mens », « psychiatrie »). Les conclusions ne doivent contenir aucune phrase qui puisse être placée à côté. Retirer « Elle ne peut donc en faire le reproche au père ! », « accusé à tort », « à foison », et toute mention de l'état psychique de la mère en 2023 au-delà du strict rappel du certificat GUENOUX déjà au dossier.</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Suggestions conclusions en réplique – audience du 30.10.2026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Conclusions en réplique – suggestions</dc:title>
  <dc:creator>Artus du Vivier</dc:creator>
  <cp:lastModifiedBy>Un-named</cp:lastModifiedBy>
  <cp:revision>1</cp:revision>
  <dcterms:created xsi:type="dcterms:W3CDTF">2026-10-28T10:09:47.106Z</dcterms:created>
  <dcterms:modified xsi:type="dcterms:W3CDTF">2026-10-28T10:09:47.106Z</dcterms:modified>
</cp:coreProperties>
</file>

<file path=docProps/custom.xml><?xml version="1.0" encoding="utf-8"?>
<Properties xmlns="http://schemas.openxmlformats.org/officeDocument/2006/custom-properties" xmlns:vt="http://schemas.openxmlformats.org/officeDocument/2006/docPropsVTypes"/>
</file>