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 ВВЕДЕНИЕ</w:t>
      </w:r>
    </w:p>
    <w:p>
      <w:pPr>
        <w:spacing w:after="0" w:before="0" w:line="360" w:lineRule="exact"/>
        <w:ind w:firstLine="0"/>
        <w:jc w:val="both"/>
      </w:pPr>
    </w:p>
    <w:p>
      <w:pPr>
        <w:spacing w:after="0" w:before="0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1.1 Цели работы</w:t>
      </w:r>
    </w:p>
    <w:p>
      <w:pPr>
        <w:spacing w:after="0" w:before="0" w:line="360" w:lineRule="exact"/>
        <w:ind w:firstLine="0"/>
        <w:jc w:val="both"/>
      </w:pPr>
    </w:p>
    <w:p>
      <w:pPr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Эта YAML-структура демонстрирует автоматическое построение DOCX без Markdown, включая списки, рисунок, формулу, таблицу и код. Текст абзаца растянут на несколько предложений, чтобы показать форматирование по ширине и работу с абзацным отступом, полями и межстрочным интервалом. Также этот текст можно использовать для проверки переноса заголовков и корректного вывода содержания.</w:t>
      </w:r>
    </w:p>
    <w:p>
      <w:pPr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Второй абзац начинается с отступа и продолжает текст, добавляя больше содержимого для проверки переноса строк и сохранения форматирования. Здесь можно упомянуть дополнительные детали, которые помогут проверить отображение нескольких абзацев подряд.</w:t>
      </w:r>
    </w:p>
    <w:p>
      <w:pPr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Третий абзац также начинается с отступа и завершает пример, демонстрируя, как несколько абзацев подряд выглядят в готовом DOCX документе:</w:t>
      </w:r>
    </w:p>
    <w:p>
      <w:pPr>
        <w:spacing w:line="360" w:lineRule="exact" w:after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1 Первый пункт нумерованного списка;</w:t>
      </w:r>
    </w:p>
    <w:p>
      <w:pPr>
        <w:spacing w:line="360" w:lineRule="exact" w:after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2 Второй пункт нумерованного списка.</w:t>
      </w:r>
    </w:p>
    <w:p>
      <w:pPr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Этот текст вставлен между списками, чтобы проверить порядок вывода:</w:t>
      </w:r>
    </w:p>
    <w:p>
      <w:pPr>
        <w:spacing w:line="360" w:lineRule="exact" w:after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– Маркер A; с пояснением;</w:t>
      </w:r>
    </w:p>
    <w:p>
      <w:pPr>
        <w:spacing w:line="360" w:lineRule="exact" w:after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– Маркер B; завершающий пункт.</w:t>
      </w:r>
    </w:p>
    <w:p>
      <w:pPr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Абзац после маркированного списка.</w:t>
      </w:r>
    </w:p>
    <w:p>
      <w:pPr>
        <w:spacing w:after="0" w:before="0" w:line="360" w:lineRule="exact"/>
        <w:ind w:firstLine="0"/>
        <w:jc w:val="both"/>
      </w:pP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drawing>
          <wp:inline xmlns:a="http://schemas.openxmlformats.org/drawingml/2006/main" xmlns:pic="http://schemas.openxmlformats.org/drawingml/2006/picture">
            <wp:extent cx="2857500" cy="285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 w:before="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Рисунок 1.1 – Схема процесса</w:t>
      </w:r>
    </w:p>
    <w:p>
      <w:pPr>
        <w:spacing w:after="0" w:before="0" w:line="360" w:lineRule="exact"/>
        <w:ind w:firstLine="0"/>
        <w:jc w:val="both"/>
      </w:pPr>
    </w:p>
    <w:p>
      <w:pPr>
        <w:spacing w:after="0" w:before="0" w:line="360" w:lineRule="exact"/>
        <w:ind w:firstLine="0"/>
        <w:jc w:val="both"/>
      </w:pPr>
    </w:p>
    <w:p>
      <w:pPr>
        <w:tabs>
          <w:tab w:pos="17" w:val="right"/>
        </w:tabs>
        <w:spacing w:line="360" w:lineRule="exact"/>
        <w:ind w:firstLine="0"/>
        <w:jc w:val="center"/>
      </w:pPr>
      <m:oMathPara>
        <m:oMathParaPr>
          <m:jc m:val="center"/>
        </m:oMathParaPr>
        <m:oMath>
          <m:r>
            <m:t>S = π r^2</m:t>
          </m:r>
        </m:oMath>
      </m:oMathPara>
      <w:r>
        <w:tab/>
      </w:r>
      <w:r>
        <w:rPr>
          <w:rFonts w:ascii="Times New Roman" w:hAnsi="Times New Roman"/>
          <w:b w:val="0"/>
          <w:i w:val="0"/>
          <w:sz w:val="28"/>
        </w:rPr>
        <w:t>(1.1)</w:t>
      </w:r>
    </w:p>
    <w:p>
      <w:pPr>
        <w:tabs>
          <w:tab w:pos="3" w:val="left"/>
        </w:tabs>
        <w:spacing w:line="360" w:lineRule="exact" w:before="0" w:after="0"/>
        <w:ind w:firstLine="0" w:left="0"/>
      </w:pPr>
      <w:r>
        <w:rPr>
          <w:rFonts w:ascii="Times New Roman" w:hAnsi="Times New Roman"/>
          <w:b w:val="0"/>
          <w:i w:val="0"/>
          <w:sz w:val="28"/>
        </w:rPr>
        <w:t xml:space="preserve">где </w:t>
      </w:r>
      <w:r>
        <w:rPr>
          <w:rFonts w:ascii="Times New Roman" w:hAnsi="Times New Roman"/>
          <w:b w:val="0"/>
          <w:i w:val="0"/>
          <w:sz w:val="28"/>
        </w:rPr>
        <w:t>S</w:t>
      </w:r>
      <w:r>
        <w:tab/>
      </w:r>
      <w:r>
        <w:rPr>
          <w:rFonts w:ascii="Times New Roman" w:hAnsi="Times New Roman"/>
          <w:b w:val="0"/>
          <w:i w:val="0"/>
          <w:sz w:val="28"/>
        </w:rPr>
        <w:t>– площадь круга, м^2;</w:t>
      </w:r>
    </w:p>
    <w:p>
      <w:pPr>
        <w:tabs>
          <w:tab w:pos="3" w:val="left"/>
        </w:tabs>
        <w:spacing w:line="360" w:lineRule="exact" w:before="0" w:after="0"/>
        <w:ind w:firstLine="0" w:left="0"/>
      </w:pPr>
      <w:r>
        <w:rPr>
          <w:rFonts w:ascii="Times New Roman" w:hAnsi="Times New Roman"/>
          <w:b w:val="0"/>
          <w:i w:val="0"/>
          <w:sz w:val="28"/>
        </w:rPr>
        <w:t>r</w:t>
      </w:r>
      <w:r>
        <w:tab/>
      </w:r>
      <w:r>
        <w:rPr>
          <w:rFonts w:ascii="Times New Roman" w:hAnsi="Times New Roman"/>
          <w:b w:val="0"/>
          <w:i w:val="0"/>
          <w:sz w:val="28"/>
        </w:rPr>
        <w:t>– радиус, м;</w:t>
      </w:r>
    </w:p>
    <w:p>
      <w:pPr>
        <w:spacing w:after="0" w:before="0" w:line="360" w:lineRule="exact"/>
        <w:ind w:firstLine="0"/>
        <w:jc w:val="both"/>
      </w:pPr>
    </w:p>
    <w:p>
      <w:pPr>
        <w:spacing w:after="0" w:before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Таблица 1.1 – Параметры модели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t>Параметр</w:t>
            </w:r>
          </w:p>
        </w:tc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rPr>
                <w:rFonts w:ascii="Times New Roman" w:hAnsi="Times New Roman"/>
                <w:b w:val="0"/>
                <w:i w:val="0"/>
                <w:sz w:val="28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t>Масса</w:t>
            </w:r>
          </w:p>
        </w:tc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rPr>
                <w:rFonts w:ascii="Times New Roman" w:hAnsi="Times New Roman"/>
                <w:b w:val="0"/>
                <w:i w:val="0"/>
                <w:sz w:val="28"/>
              </w:rPr>
              <w:t>10 кг</w:t>
            </w:r>
          </w:p>
        </w:tc>
      </w:tr>
      <w:tr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t>Скорость</w:t>
            </w:r>
          </w:p>
        </w:tc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rPr>
                <w:rFonts w:ascii="Times New Roman" w:hAnsi="Times New Roman"/>
                <w:b w:val="0"/>
                <w:i w:val="0"/>
                <w:sz w:val="28"/>
              </w:rPr>
              <w:t>25 м/с</w:t>
            </w:r>
          </w:p>
        </w:tc>
      </w:tr>
    </w:tbl>
    <w:p>
      <w:pPr>
        <w:spacing w:after="0" w:before="0" w:line="360" w:lineRule="exact"/>
        <w:ind w:firstLine="0"/>
        <w:jc w:val="both"/>
      </w:pPr>
    </w:p>
    <w:p>
      <w:pPr>
        <w:spacing w:line="360" w:lineRule="exact" w:before="0" w:after="360"/>
        <w:ind w:firstLine="0"/>
        <w:jc w:val="left"/>
      </w:pPr>
      <w:r>
        <w:rPr>
          <w:rFonts w:ascii="Courier New" w:hAnsi="Courier New"/>
          <w:b w:val="0"/>
          <w:i w:val="0"/>
          <w:sz w:val="28"/>
        </w:rPr>
        <w:t>def area(radius: float) -&gt; float:</w:t>
        <w:br/>
        <w:t xml:space="preserve">    return 3.14159 * radius ** 2</w:t>
        <w:br/>
      </w:r>
    </w:p>
    <w:p>
      <w:pPr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Дополнительный абзац после таблицы и кода для проверки форматирования.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