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 ВВЕДЕНИЕ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Цели работы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Эта YAML-структура демонстрирует автоматическое построение DOCX без Markdown, включая списки, рисунок, формулу,</w:t>
        <w:br/>
        <w:t>таблицу и код. Текст абзаца растянут на несколько предложений, чтобы показать форматирование по ширине и работу</w:t>
        <w:br/>
        <w:t>с абзацным отступом, полями и межстрочным интервалом. Также этот текст можно использовать для проверки переноса</w:t>
        <w:br/>
        <w:t>заголовков и корректного вывода содержания.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Второй абзац начинается с отступа и продолжает текст, добавляя больше содержимого для проверки переноса строк и</w:t>
        <w:br/>
        <w:t>сохранения форматирования. Здесь можно упомянуть дополнительные детали, которые помогут проверить отображение</w:t>
        <w:br/>
        <w:t>нескольких абзацев подряд.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Третий абзац также начинается с отступа и завершает пример, демонстрируя, как несколько абзацев подряд выглядят</w:t>
        <w:br/>
        <w:t>в готовом DOCX документе: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1 Первый пункт нумерованного списка;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2 Второй пункт нумерованного списка.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Этот текст вставлен между списками, чтобы проверить порядок вывода: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Маркер A; с пояснением;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Маркер B; завершающий пункт.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Абзац после маркированного списка.</w:t>
      </w:r>
    </w:p>
    <w:p>
      <w:pPr>
        <w:spacing w:after="0" w:before="0" w:line="360" w:lineRule="exact"/>
        <w:ind w:firstLine="0"/>
        <w:jc w:val="both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drawing>
          <wp:inline xmlns:a="http://schemas.openxmlformats.org/drawingml/2006/main" xmlns:pic="http://schemas.openxmlformats.org/drawingml/2006/picture">
            <wp:extent cx="28575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1.1 – Схема процесса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0"/>
        <w:jc w:val="both"/>
      </w:pPr>
    </w:p>
    <w:p>
      <w:pPr>
        <w:tabs>
          <w:tab w:pos="17" w:val="right"/>
        </w:tabs>
        <w:spacing w:line="360" w:lineRule="exact"/>
        <w:ind w:firstLine="0"/>
        <w:jc w:val="center"/>
      </w:pPr>
      <m:oMathPara>
        <m:oMathParaPr>
          <m:jc m:val="center"/>
        </m:oMathParaPr>
        <m:oMath>
          <m:r>
            <m:t>S = π r^2</m:t>
          </m:r>
        </m:oMath>
      </m:oMathPara>
      <w:r>
        <w:tab/>
      </w:r>
      <w:r>
        <w:rPr>
          <w:rFonts w:ascii="Times New Roman" w:hAnsi="Times New Roman"/>
          <w:b w:val="0"/>
          <w:i w:val="0"/>
          <w:sz w:val="28"/>
        </w:rPr>
        <w:t>(1.1)</w:t>
      </w:r>
    </w:p>
    <w:p>
      <w:pPr>
        <w:tabs>
          <w:tab w:pos="3" w:val="left"/>
        </w:tabs>
        <w:spacing w:line="360" w:lineRule="exact" w:before="0" w:after="0"/>
        <w:ind w:firstLine="0" w:left="0"/>
      </w:pPr>
      <w:r>
        <w:rPr>
          <w:rFonts w:ascii="Times New Roman" w:hAnsi="Times New Roman"/>
          <w:b w:val="0"/>
          <w:i w:val="0"/>
          <w:sz w:val="28"/>
        </w:rPr>
        <w:t xml:space="preserve">где </w:t>
      </w:r>
      <w:r>
        <w:rPr>
          <w:rFonts w:ascii="Times New Roman" w:hAnsi="Times New Roman"/>
          <w:b w:val="0"/>
          <w:i w:val="0"/>
          <w:sz w:val="28"/>
        </w:rPr>
        <w:t>S</w:t>
      </w:r>
      <w:r>
        <w:tab/>
      </w:r>
      <w:r>
        <w:rPr>
          <w:rFonts w:ascii="Times New Roman" w:hAnsi="Times New Roman"/>
          <w:b w:val="0"/>
          <w:i w:val="0"/>
          <w:sz w:val="28"/>
        </w:rPr>
        <w:t>– площадь круга, м^2;</w:t>
      </w:r>
    </w:p>
    <w:p>
      <w:pPr>
        <w:tabs>
          <w:tab w:pos="3" w:val="left"/>
        </w:tabs>
        <w:spacing w:line="360" w:lineRule="exact" w:before="0" w:after="0"/>
        <w:ind w:firstLine="0" w:left="0"/>
      </w:pPr>
      <w:r>
        <w:rPr>
          <w:rFonts w:ascii="Times New Roman" w:hAnsi="Times New Roman"/>
          <w:b w:val="0"/>
          <w:i w:val="0"/>
          <w:sz w:val="28"/>
        </w:rPr>
        <w:t>r</w:t>
      </w:r>
      <w:r>
        <w:tab/>
      </w:r>
      <w:r>
        <w:rPr>
          <w:rFonts w:ascii="Times New Roman" w:hAnsi="Times New Roman"/>
          <w:b w:val="0"/>
          <w:i w:val="0"/>
          <w:sz w:val="28"/>
        </w:rPr>
        <w:t>– радиус, м;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1.1 – Параметры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Параметр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Масса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10 кг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Скорость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25 м/с</w:t>
            </w:r>
          </w:p>
        </w:tc>
      </w:tr>
    </w:tbl>
    <w:p>
      <w:pPr>
        <w:spacing w:after="0" w:before="0" w:line="360" w:lineRule="exact"/>
        <w:ind w:firstLine="0"/>
        <w:jc w:val="both"/>
      </w:pPr>
    </w:p>
    <w:p>
      <w:pPr>
        <w:spacing w:line="360" w:lineRule="exact" w:before="0" w:after="360"/>
        <w:ind w:firstLine="0"/>
        <w:jc w:val="left"/>
      </w:pPr>
      <w:r>
        <w:rPr>
          <w:rFonts w:ascii="Courier New" w:hAnsi="Courier New"/>
          <w:b w:val="0"/>
          <w:i w:val="0"/>
          <w:sz w:val="28"/>
        </w:rPr>
        <w:t>def area(radius: float) -&gt; float:</w:t>
        <w:br/>
        <w:t xml:space="preserve">    return 3.14159 * radius ** 2</w:t>
        <w:br/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Дополнительный абзац после таблицы и кода для проверки форматирования.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