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Сравнительная таблица CSS-фреймворков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Название фреймворка</w:t>
            </w:r>
          </w:p>
        </w:tc>
        <w:tc>
          <w:tcPr>
            <w:tcW w:type="dxa" w:w="2160"/>
          </w:tcPr>
          <w:p>
            <w:r>
              <w:t>Достоинства</w:t>
            </w:r>
          </w:p>
        </w:tc>
        <w:tc>
          <w:tcPr>
            <w:tcW w:type="dxa" w:w="2160"/>
          </w:tcPr>
          <w:p>
            <w:r>
              <w:t>Недостатки</w:t>
            </w:r>
          </w:p>
        </w:tc>
        <w:tc>
          <w:tcPr>
            <w:tcW w:type="dxa" w:w="2160"/>
          </w:tcPr>
          <w:p>
            <w:r>
              <w:t>Отличительная особенность</w:t>
            </w:r>
          </w:p>
        </w:tc>
      </w:tr>
      <w:tr>
        <w:tc>
          <w:tcPr>
            <w:tcW w:type="dxa" w:w="2160"/>
          </w:tcPr>
          <w:p>
            <w:r>
              <w:t>Twitter Bootstrap</w:t>
            </w:r>
          </w:p>
        </w:tc>
        <w:tc>
          <w:tcPr>
            <w:tcW w:type="dxa" w:w="2160"/>
          </w:tcPr>
          <w:p>
            <w:r>
              <w:t>Богатый набор компонентов, кроссбраузерность, активное сообщество</w:t>
            </w:r>
          </w:p>
        </w:tc>
        <w:tc>
          <w:tcPr>
            <w:tcW w:type="dxa" w:w="2160"/>
          </w:tcPr>
          <w:p>
            <w:r>
              <w:t>Большой вес, шаблонный внешний вид</w:t>
            </w:r>
          </w:p>
        </w:tc>
        <w:tc>
          <w:tcPr>
            <w:tcW w:type="dxa" w:w="2160"/>
          </w:tcPr>
          <w:p>
            <w:r>
              <w:t>Один из самых популярных и комплексных CSS-фреймворков</w:t>
            </w:r>
          </w:p>
        </w:tc>
      </w:tr>
      <w:tr>
        <w:tc>
          <w:tcPr>
            <w:tcW w:type="dxa" w:w="2160"/>
          </w:tcPr>
          <w:p>
            <w:r>
              <w:t>ResponsiveAeon</w:t>
            </w:r>
          </w:p>
        </w:tc>
        <w:tc>
          <w:tcPr>
            <w:tcW w:type="dxa" w:w="2160"/>
          </w:tcPr>
          <w:p>
            <w:r>
              <w:t>Легкий и простой в использовании, легко настраивается</w:t>
            </w:r>
          </w:p>
        </w:tc>
        <w:tc>
          <w:tcPr>
            <w:tcW w:type="dxa" w:w="2160"/>
          </w:tcPr>
          <w:p>
            <w:r>
              <w:t>Меньше документации и поддержки, ограниченная функциональность</w:t>
            </w:r>
          </w:p>
        </w:tc>
        <w:tc>
          <w:tcPr>
            <w:tcW w:type="dxa" w:w="2160"/>
          </w:tcPr>
          <w:p>
            <w:r>
              <w:t>Очень легкий responsive-фреймворк без лишнего</w:t>
            </w:r>
          </w:p>
        </w:tc>
      </w:tr>
      <w:tr>
        <w:tc>
          <w:tcPr>
            <w:tcW w:type="dxa" w:w="2160"/>
          </w:tcPr>
          <w:p>
            <w:r>
              <w:t>Stack Layout</w:t>
            </w:r>
          </w:p>
        </w:tc>
        <w:tc>
          <w:tcPr>
            <w:tcW w:type="dxa" w:w="2160"/>
          </w:tcPr>
          <w:p>
            <w:r>
              <w:t>Простой подход к адаптивной вёрстке с вертикальным размещением элементов</w:t>
            </w:r>
          </w:p>
        </w:tc>
        <w:tc>
          <w:tcPr>
            <w:tcW w:type="dxa" w:w="2160"/>
          </w:tcPr>
          <w:p>
            <w:r>
              <w:t>Ограничен по возможностям, неудобен для сложных интерфейсов</w:t>
            </w:r>
          </w:p>
        </w:tc>
        <w:tc>
          <w:tcPr>
            <w:tcW w:type="dxa" w:w="2160"/>
          </w:tcPr>
          <w:p>
            <w:r>
              <w:t>Использует концепцию вертикальной «стопки» элементов</w:t>
            </w:r>
          </w:p>
        </w:tc>
      </w:tr>
      <w:tr>
        <w:tc>
          <w:tcPr>
            <w:tcW w:type="dxa" w:w="2160"/>
          </w:tcPr>
          <w:p>
            <w:r>
              <w:t>Golden Grid System</w:t>
            </w:r>
          </w:p>
        </w:tc>
        <w:tc>
          <w:tcPr>
            <w:tcW w:type="dxa" w:w="2160"/>
          </w:tcPr>
          <w:p>
            <w:r>
              <w:t>Идеально подходит для адаптивной сетки, ориентированной на типографику</w:t>
            </w:r>
          </w:p>
        </w:tc>
        <w:tc>
          <w:tcPr>
            <w:tcW w:type="dxa" w:w="2160"/>
          </w:tcPr>
          <w:p>
            <w:r>
              <w:t>Требует хорошего понимания структуры, не для новичков</w:t>
            </w:r>
          </w:p>
        </w:tc>
        <w:tc>
          <w:tcPr>
            <w:tcW w:type="dxa" w:w="2160"/>
          </w:tcPr>
          <w:p>
            <w:r>
              <w:t>Использует правило золотого сечения в построении сетки</w:t>
            </w:r>
          </w:p>
        </w:tc>
      </w:tr>
      <w:tr>
        <w:tc>
          <w:tcPr>
            <w:tcW w:type="dxa" w:w="2160"/>
          </w:tcPr>
          <w:p>
            <w:r>
              <w:t>Gridless</w:t>
            </w:r>
          </w:p>
        </w:tc>
        <w:tc>
          <w:tcPr>
            <w:tcW w:type="dxa" w:w="2160"/>
          </w:tcPr>
          <w:p>
            <w:r>
              <w:t>Минималистичный, заточен под семантичную HTML5-вёрстку</w:t>
            </w:r>
          </w:p>
        </w:tc>
        <w:tc>
          <w:tcPr>
            <w:tcW w:type="dxa" w:w="2160"/>
          </w:tcPr>
          <w:p>
            <w:r>
              <w:t>Нет встроенных компонентов и сетки</w:t>
            </w:r>
          </w:p>
        </w:tc>
        <w:tc>
          <w:tcPr>
            <w:tcW w:type="dxa" w:w="2160"/>
          </w:tcPr>
          <w:p>
            <w:r>
              <w:t>Не использует классы — чистая, семантичная вёрстка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