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CONTRACT / ДОГОВІР ПОСТАЧАННЯ</w:t>
      </w:r>
    </w:p>
    <w:p>
      <w:r>
        <w:t>Mumbai, India / Мумбаї, Індія — 01 April 2026</w:t>
      </w:r>
    </w:p>
    <w:p>
      <w:pPr>
        <w:pStyle w:val="Heading2"/>
      </w:pPr>
      <w:r>
        <w:t>2.3 Delivery basis / Базис постачання</w:t>
      </w:r>
    </w:p>
    <w:p>
      <w:r>
        <w:t>FCA Mumbai per Incoterms 2020. / FCA Мумбаї за Incoterms 2020.</w:t>
      </w:r>
    </w:p>
    <w:p>
      <w:pPr>
        <w:pStyle w:val="Heading2"/>
      </w:pPr>
      <w:r>
        <w:t>3.1 Price / Ціна</w:t>
      </w:r>
    </w:p>
    <w:p>
      <w:r>
        <w:t>USD 1 280 / metric ton</w:t>
      </w:r>
    </w:p>
    <w:p>
      <w:pPr>
        <w:pStyle w:val="Heading2"/>
      </w:pPr>
      <w:r>
        <w:t>4.1 Payment terms / Умови оплати</w:t>
      </w:r>
    </w:p>
    <w:p>
      <w:r>
        <w:t>30% prepayment, 70% within 14 days of B/L. / 30% передоплата, 70% протягом 14 днів з дати коносамента.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