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Глава 1 Теоретические основы диверсификации и волатильности экспорта интегральных схем</w:t>
      </w:r>
    </w:p>
    <w:p>
      <w:r>
        <w:t>Диверсификация экспорта обычно связывается с уменьшением зависимости от отдельных товаров и покупателей. Однако более равномерное распределение поставок не определяет однозначно изменчивость их стоимости. Значение имеют волатильность каждого потока и степень согласованности колебаний между ними. Для интегральных схем эта проблема особенно существенна: товарные категории различаются по ценовой динамике, а несколько стран назначения могут обслуживать один рынок конечной продукции. В главе рассматриваются особенности отрасли, механизмы связи диверсификации с волатильностью и результаты существующих исследований. Теоретический анализ формирует основание для сопоставления экспорта Японии и Республики Корея и последующей разработки рекомендаций с учетом выявленных структурных различий.</w:t>
      </w:r>
    </w:p>
    <w:p>
      <w:pPr>
        <w:pStyle w:val="Heading1"/>
      </w:pPr>
      <w:r>
        <w:t>1.1 Особенности международной торговли интегральными схемами</w:t>
      </w:r>
    </w:p>
    <w:p>
      <w:r>
        <w:t>Интегральные схемы используются как промежуточные товары при производстве электронной техники и других видов оборудования. Международное разделение труда в отрасли охватывает несколько технологических стадий. В докладе Организации экономического сотрудничества и развития (ОЭСР) выделяются проектирование, изготовление на полупроводниковых пластинах, а также сборка, тестирование и корпусирование. Каждая стадия опирается на специализированные материалы, оборудование и знания. Полный цикл создания продукта может быть распределен между несколькими экономиками, поэтому торговый поток необходимо рассматривать в связи с местом его участников в производственной цепочке.</w:t>
      </w:r>
      <w:r>
        <w:rPr>
          <w:rStyle w:val="FootnoteReference"/>
        </w:rPr>
        <w:footnoteReference w:id="1"/>
      </w:r>
      <w:r/>
    </w:p>
    <w:p>
      <w:r>
        <w:t>Промежуточное назначение чипов определяет характер спроса на них. Заказ производителю компонентов возникает в связи с планами выпуска конечного оборудования и потребностью сборочного предприятия в запасах. Поэтому изменение продаж электроники передается экспортерам через решения других участников цепочки. Между покупкой компонента, изготовлением устройства и его реализацией может проходить время, в течение которого рыночные ожидания меняются. Для объяснения экспортного цикла необходимо учитывать не только конечное потребление, но и то, каким образом производственные предприятия приспосабливают к нему свои заказы. В исследовании KDI эти связи рассматриваются через динамику спроса на устройства, производства и запасов.</w:t>
      </w:r>
      <w:r>
        <w:rPr>
          <w:rStyle w:val="FootnoteReference"/>
        </w:rPr>
        <w:footnoteReference w:id="2"/>
      </w:r>
      <w:r/>
    </w:p>
    <w:p>
      <w:r>
        <w:t>Существование различных организационных моделей усиливает значение такого разделения. Компании могут совмещать разработку и производство, специализироваться на проектировании либо изготавливать продукцию по заказам других участников. Пересечение границы не обязательно совпадает с передачей изделия конечному потребителю или со сменой его собственника. Таможенная стоимость поэтому характеризует валовой торговый поток, а не созданную внутри страны добавленную стоимость и не бухгалтерскую выручку конкретной компании. В дальнейшем выражение «экспортная выручка» используется как краткое обозначение номинальной стоимости зарегистрированных поставок.</w:t>
      </w:r>
    </w:p>
    <w:p>
      <w:r>
        <w:t>Специализация на отдельной стадии опирается на накопленные знания и совместимость используемых технологий. В докладе ОЭСР показано, что проектирование связано с программными средствами, готовыми блоками интеллектуальной собственности и правилами конкретного производственного процесса. Решение о смене производственного партнера поэтому может требовать согласования проекта и технологии. Из этого следует, что географическое перераспределение поставок не всегда сводится к выбору другого покупателя при неизменных затратах. Часть торговых связей закреплена технологическими условиями, а возможности их изменения зависят от положения предприятия в цепочке.</w:t>
      </w:r>
      <w:r>
        <w:rPr>
          <w:rStyle w:val="FootnoteReference"/>
        </w:rPr>
        <w:footnoteReference w:id="3"/>
      </w:r>
      <w:r/>
    </w:p>
    <w:p>
      <w:r>
        <w:t>Территория вывоза и принадлежность компании задают разные границы анализа. Продажи зарубежной фабрики входят в торговую статистику страны отгрузки, тогда как консолидированная отчетность группы объединяет операции в нескольких странах. Здесь исследуется зарегистрированный экспорт с территории Японии и Кореи; распределение прибыли и технологических компетенций между владельцами предприятий отдельно не оценивается.</w:t>
      </w:r>
    </w:p>
    <w:p>
      <w:r>
        <w:t>Отраслевая специализация создает возможности для экономии на масштабе, но одновременно формирует взаимную зависимость участников. Haramboure и соавторы исследуют эти связи с использованием межстрановых таблиц «затраты — выпуск», в которых полупроводниковое производство выделено из более широкой электронной промышленности. Они показывают, что значение отрасли определяется ее положением среди поставщиков промежуточных ресурсов для других производств. Ограничение выпуска или поставок чипов способно затронуть несколько отраслей покупателей. Такой подход раскрывает производственные связи, которые невозможно полностью описать двусторонними экспортными долями.</w:t>
      </w:r>
      <w:r>
        <w:rPr>
          <w:rStyle w:val="FootnoteReference"/>
        </w:rPr>
        <w:footnoteReference w:id="4"/>
      </w:r>
      <w:r/>
    </w:p>
    <w:p>
      <w:r>
        <w:t>Высокие постоянные затраты усиливают значение масштаба производства. Расходы на создание мощностей и освоение технологии должны возмещаться за счет продаж на достаточно широком рынке. У Haramboure и соавторов высокие фиксированные издержки и концентрация рассматриваются среди структурных особенностей полупроводниковой цепочки. Экономическая привлекательность специализации при этом сосуществует с уязвимостью к изменению спроса на ограниченный набор изделий. Для экспортера значение имеет не только способность наращивать продажи в благоприятный период, но и характер загрузки уже созданных мощностей при ухудшении конъюнктуры.</w:t>
      </w:r>
      <w:r>
        <w:rPr>
          <w:rStyle w:val="FootnoteReference"/>
        </w:rPr>
        <w:footnoteReference w:id="5"/>
      </w:r>
      <w:r/>
    </w:p>
    <w:p>
      <w:r>
        <w:t>Для анализа торговой статистики необходимо установить товарные границы исследования. В Гармонизированной системе описания и кодирования товаров (HS) интегральные схемы относятся к позиции 8542. На шестизначном уровне выделяются процессоры и контроллеры — 854231, запоминающие устройства — 854232, усилители — 854233, прочие интегральные схемы — 854239, а также части — 854290. Эти коды и их основные наименования сохраняются в редакциях HS 2017 и HS 2022. Основную совокупность исследования составляют первые четыре категории; части включаются в отдельную проверку чувствительности. Такое определение обеспечивает одинаковые товарные границы сравнения стран.</w:t>
      </w:r>
      <w:r>
        <w:rPr>
          <w:rStyle w:val="FootnoteReference"/>
        </w:rPr>
        <w:footnoteReference w:id="6"/>
      </w:r>
      <w:r>
        <w:rPr>
          <w:rFonts w:ascii="Times New Roman" w:hAnsi="Times New Roman"/>
          <w:b w:val="0"/>
          <w:color w:val="000000"/>
          <w:sz w:val="18"/>
          <w:vertAlign w:val="superscript"/>
        </w:rPr>
        <w:t>,</w:t>
      </w:r>
      <w:r>
        <w:rPr>
          <w:rStyle w:val="FootnoteReference"/>
        </w:rPr>
        <w:footnoteReference w:id="7"/>
      </w:r>
      <w:r/>
    </w:p>
    <w:p>
      <w:r>
        <w:t>Позиция 8542 охватывает лишь часть полупроводниковой отрасли. Она не охватывает всю совокупность материалов, производственного оборудования и дискретных полупроводниковых приборов. Кроме того, шестизначная классификация не позволяет непосредственно установить технологический уровень каждой схемы или ее конечное применение. Например, категория процессоров и контроллеров не ограничивается передовыми вычислительными ускорителями, а категория памяти объединяет различные виды запоминающих устройств. Поэтому изменение доли товарного кода характеризует состав зарегистрированного экспорта. Для вывода о технологическом усложнении продукции необходима более подробная информация.</w:t>
      </w:r>
    </w:p>
    <w:p>
      <w:r>
        <w:t>Товарная диверсификация на уровне HS характеризует распределение стоимости между статистическими группами. Освоение нового изделия внутри одного кода может не изменить число категорий, а рост небольшой категории — изменить их доли без появления новой технологии. Поэтому выводы об инновациях и качестве продукции требуют более подробных данных.</w:t>
      </w:r>
    </w:p>
    <w:p>
      <w:r>
        <w:t>Внутри рассматриваемой группы существенное значение имеет различие между памятью и остальными схемами. В исследовании Jo и Jung особенности массового выпуска и стандартизации памяти связываются с выраженными колебаниями цен. Авторы сопоставляют этот сегмент с более разнообразной продукцией других типов и рассматривают высокую долю памяти как один из источников чувствительности корейского экспорта к отраслевому спаду. Следовательно, одинаковая совокупная стоимость поставок может соответствовать разной подверженности циклическим колебаниям в зависимости от состава продукции.</w:t>
      </w:r>
      <w:r>
        <w:rPr>
          <w:rStyle w:val="FootnoteReference"/>
        </w:rPr>
        <w:footnoteReference w:id="8"/>
      </w:r>
      <w:r/>
    </w:p>
    <w:p>
      <w:r>
        <w:t>Рыночная конъюнктура и инвестиционные решения могут меняться с разной скоростью. Jo и Jung отмечают, что инвестиции в оборудование опираются на среднесрочные и долгосрочные планы, учитывающие развитие технологий и ожидаемый спрос. Поэтому текущий спад продаж не обязательно сопровождается столь же выраженным сокращением инвестиций. При ослаблении спроса экспортная стоимость может измениться раньше, чем производственные мощности будут перестроены. Вследствие этого товарная специализация определяет характер краткосрочной реакции даже при сохранении прежних торговых партнеров. Такой механизм дает основание выделять память в анализе, сохраняя при этом различия и между остальными категориями интегральных схем.</w:t>
      </w:r>
      <w:r>
        <w:rPr>
          <w:rStyle w:val="FootnoteReference"/>
        </w:rPr>
        <w:footnoteReference w:id="9"/>
      </w:r>
      <w:r/>
    </w:p>
    <w:p>
      <w:r>
        <w:t>Товарная неоднородность затрудняет использование единой характеристики спроса на чипы. Память, процессоры, усилители и другие схемы применяются в различных устройствах; одновременно в одном устройстве используются несколько типов компонентов. Hillrichs и Wölfl сопоставляют данные о международной торговле с отраслевой информацией о направлениях применения полупроводников. Их анализ показывает значимость различий между сегментами спроса. Для настоящего исследования это означает, что товарное деление следует сохранять и при изучении географии: экспорт разных категорий в одну страну может иметь неодинаковую динамику.</w:t>
      </w:r>
      <w:r>
        <w:rPr>
          <w:rStyle w:val="FootnoteReference"/>
        </w:rPr>
        <w:footnoteReference w:id="10"/>
      </w:r>
      <w:r/>
    </w:p>
    <w:p>
      <w:r>
        <w:t>Различия применения компонентов создают возможность несовпадения циклов спроса. Однако несколько изделий могут зависеть от общих инвестиционных решений покупателей или одного этапа обновления техники. Поэтому число товарных категорий не равно числу независимых источников выручки.</w:t>
      </w:r>
    </w:p>
    <w:p>
      <w:r>
        <w:t>Особенности отраслевого цикла проявляются и в различии между стоимостью и физическим объемом поставок. Номинальная экспортная выручка зависит от количества проданных изделий, их цен и состава продукции внутри товарной категории. Снижение стоимости может происходить при сокращении объема, падении цен либо одновременном изменении обоих компонентов. Напротив, рост доли памяти в денежном выражении возможен при повышении ее относительной цены без сопоставимого расширения выпуска. В работе KDI ценовой и количественный каналы рассматриваются раздельно, что подчеркивает необходимость различать их и при интерпретации торговых данных.</w:t>
      </w:r>
      <w:r>
        <w:rPr>
          <w:rStyle w:val="FootnoteReference"/>
        </w:rPr>
        <w:footnoteReference w:id="11"/>
      </w:r>
      <w:r/>
    </w:p>
    <w:p>
      <w:r>
        <w:t>Дополнительным звеном выступает изменение запасов. Производитель конечного оборудования может временно уменьшить закупки компонентов, используя ранее накопленные резервы, даже если продажи его продукции сокращаются слабее. После исчерпания запасов потребность в новых заказах, напротив, способна увеличиться без такого же ускорения конечного спроса. Jo и Jung рассматривают согласование производственного цикла с накоплением и сокращением запасов, отмечая временной разрыв между их поворотными точками. Для экспортной статистики это означает, что месячные колебания отгрузок могут отражать также решения о сроках закупок.</w:t>
      </w:r>
      <w:r>
        <w:rPr>
          <w:rStyle w:val="FootnoteReference"/>
        </w:rPr>
        <w:footnoteReference w:id="12"/>
      </w:r>
      <w:r/>
    </w:p>
    <w:p>
      <w:r>
        <w:t>Изменение долей следует сопоставлять с абсолютной стоимостью поставок. Например, удешевление памяти повышает относительный вес остальных схем даже без роста их экспорта. Аналогично увеличение доли страны может отражать более глубокий спад на других направлениях. Это особенно существенно при сравнении лет, относящихся к разным фазам отраслевого цикла.</w:t>
      </w:r>
    </w:p>
    <w:p>
      <w:r>
        <w:t>Географическая структура отрасли также имеет особенности. Банк Кореи разграничивает непосредственное направление экспорта и конечный спрос на продукцию, для изготовления которой используются корейские чипы. В частности, поставки во Вьетнам рассматриваются в связи с размещением там производственных мощностей электронной промышленности. Поэтому увеличение экспортной доли страны сборки не означает равного увеличения зависимости от ее внутреннего потребления. Перераспределение таможенных потоков между государствами может происходить при сохранении зависимости от тех же рынков конечной продукции.</w:t>
      </w:r>
      <w:r>
        <w:rPr>
          <w:rStyle w:val="FootnoteReference"/>
        </w:rPr>
        <w:footnoteReference w:id="13"/>
      </w:r>
      <w:r/>
    </w:p>
    <w:p>
      <w:r>
        <w:t>Производственная география и география конечного потребления образуют два разных уровня зависимости. Несколько стран сборки могут закупать компоненты для выпуска сходных устройств, продаваемых на одном крупном рынке. В таком случае расширение числа непосредственных направлений экспорта сохраняет общий источник изменения спроса. Возможен и обратный случай: один сборочный центр обслуживает покупателей в разных странах. Банк Кореи использует разграничение прямого экспорта и конечного спроса именно для уточнения характера внешней зависимости. В торговом анализе это требует осторожно связывать страну назначения с самостоятельным рынком потребления.</w:t>
      </w:r>
      <w:r>
        <w:rPr>
          <w:rStyle w:val="FootnoteReference"/>
        </w:rPr>
        <w:footnoteReference w:id="14"/>
      </w:r>
      <w:r/>
    </w:p>
    <w:p>
      <w:r>
        <w:t>Выбор Японии и Республики Корея позволяет сопоставить экспортеров одной группы промежуточных товаров с различной отраслевой специализацией. Банк Кореи уже отмечал различия в динамике полупроводникового экспорта этих стран и связывал большую амплитуду корейского цикла с товарным составом и структурой спроса. Такое сопоставление дает основание проверить, различается ли роль товарных и географических сдвигов внутри одинаковых категорий HS. Япония при этом выступает самостоятельным объектом сравнительного анализа; предположение о ее использовании в качестве контрольной группы для оценки корейской политики не вводится.</w:t>
      </w:r>
      <w:r>
        <w:rPr>
          <w:rStyle w:val="FootnoteReference"/>
        </w:rPr>
        <w:footnoteReference w:id="15"/>
      </w:r>
      <w:r/>
    </w:p>
    <w:p>
      <w:r>
        <w:t>Торговые и технологические ограничения дополняют экономические источники неопределенности. Koh рассматривает положение корейской отрасли в условиях экспортного контроля, международного размещения производств и стратегического соперничества. Из этого анализа следует, что условия доступа к рынкам и технологиям могут затрагивать несколько участков цепочки одновременно. Для исследования волатильности такие изменения представляют экономический контекст. Их самостоятельное воздействие нельзя определить лишь по совпадению даты политического решения с изменением экспортной доли.</w:t>
      </w:r>
      <w:r>
        <w:rPr>
          <w:rStyle w:val="FootnoteReference"/>
        </w:rPr>
        <w:footnoteReference w:id="16"/>
      </w:r>
      <w:r/>
    </w:p>
    <w:p>
      <w:r>
        <w:t>Передача внешних ограничений также зависит от организации производства. Изменение условий доступа к оборудованию или технологии затрагивает возможности выпуска, тогда как ограничения на продажу определенному покупателю действуют через сбыт. Эти каналы могут пересекаться, если одна группа компаний одновременно участвует в нескольких стадиях цепочки. Koh рассматривает стратегические затруднения корейской отрасли в связи с международным размещением ее деятельности. Для настоящей работы этот контекст объясняет интерес к структуре экспортных связей, но не задает заранее направление наблюдаемого изменения волатильности.</w:t>
      </w:r>
      <w:r>
        <w:rPr>
          <w:rStyle w:val="FootnoteReference"/>
        </w:rPr>
        <w:footnoteReference w:id="17"/>
      </w:r>
      <w:r/>
    </w:p>
    <w:p>
      <w:r>
        <w:t>Наконец, следует учитывать различие между бесперебойностью снабжения и стабильностью экспортной выручки. Li и соавторы исследуют устойчивость мировой полупроводниковой торговой сети к случайному и направленному исключению узлов. В центре такого анализа находятся связность и структура сети. В настоящей работе рассматриваются колебания стоимости экспортных потоков во времени. Обе постановки относятся к экономическим рискам отрасли, однако измеряют разные явления: сохранение торговых связей не исключает сильного падения цен и выручки.</w:t>
      </w:r>
      <w:r>
        <w:rPr>
          <w:rStyle w:val="FootnoteReference"/>
        </w:rPr>
        <w:footnoteReference w:id="18"/>
      </w:r>
      <w:r/>
    </w:p>
    <w:p>
      <w:r>
        <w:t>Неоднородность продукции и международное разделение производства определяют требования к анализу: сохранять товарную детализацию и учитывать совместную динамику направлений. Эти требования связывают отраслевые особенности с выбором показателей диверсификации и волатильности.</w:t>
      </w:r>
    </w:p>
    <w:p>
      <w:pPr>
        <w:pStyle w:val="Heading1"/>
      </w:pPr>
      <w:r>
        <w:t>1.2 Товарная и географическая диверсификация экспортных поставок</w:t>
      </w:r>
    </w:p>
    <w:p>
      <w:r>
        <w:t>Экспортная диверсификация означает расширение набора товаров и рынков либо более равномерное распределение поставок между ними. Товарное измерение характеризует состав продукции, географическое — направления ее реализации. Они взаимосвязаны: у каждой категории имеется собственное распределение покупателей. Поэтому изменение совокупной географии может быть обусловлено как переориентацией конкретного товара, так и ростом доли товара, который изначально поставлялся на другие рынки. Разделение этих процессов необходимо для объяснения структурных сдвигов.</w:t>
      </w:r>
    </w:p>
    <w:p>
      <w:r>
        <w:t>Cadot, Carrère и Strauss-Kahn различают расширение набора экспортируемых товаров и перераспределение стоимости внутри существующего набора, то есть экстенсивную и интенсивную стороны диверсификации. При анализе направлений аналогичное различие возникает между появлением нового покупателя и изменением долей прежних рынков. Количество направлений может увеличиваться за счет небольших и нерегулярных поставок, почти не меняющих зависимость от основных покупателей. Поэтому число товаров или партнеров следует дополнять показателями их относительной значимости.</w:t>
      </w:r>
      <w:r>
        <w:rPr>
          <w:rStyle w:val="FootnoteReference"/>
        </w:rPr>
        <w:footnoteReference w:id="19"/>
      </w:r>
      <w:r/>
    </w:p>
    <w:p>
      <w:r>
        <w:t>Освоение нового изделия или рынка требует иных затрат, чем расширение уже действующих поставок. Поэтому одинаковое снижение концентрации может сопровождаться разной потребностью в инвестициях и времени. Экономическая оценка структурного сдвига должна учитывать, какие именно операции обеспечили изменение долей.</w:t>
      </w:r>
    </w:p>
    <w:p>
      <w:pPr>
        <w:keepNext/>
      </w:pPr>
      <w:r>
        <w:t xml:space="preserve">Одним из распространенных показателей концентрации является индекс Херфиндаля — Хиршмана (HHI). Если </w:t>
      </w:r>
      <m:oMath>
        <m:sSub>
          <m:e>
            <m:r>
              <m:rPr>
                <m:sty m:val="i"/>
              </m:rPr>
              <m:t>s</m:t>
            </m:r>
          </m:e>
          <m:sub>
            <m:r>
              <m:rPr>
                <m:sty m:val="i"/>
              </m:rPr>
              <m:t>j</m:t>
            </m:r>
          </m:sub>
        </m:sSub>
      </m:oMath>
      <w:r>
        <w:t xml:space="preserve"> — доля рынка j в общей стоимости экспорта рассматриваемой группы, индекс определяется суммой квадратов неотрицательных долей:</w:t>
      </w:r>
    </w:p>
    <w:p>
      <w:pPr>
        <w:spacing w:before="120" w:after="120" w:line="276" w:lineRule="auto"/>
        <w:ind w:firstLine="0"/>
        <w:jc w:val="center"/>
      </w:pPr>
      <m:oMathPara>
        <m:oMathParaPr>
          <m:jc m:val="center"/>
        </m:oMathParaPr>
        <m:oMath>
          <m:r>
            <m:rPr>
              <m:sty m:val="p"/>
            </m:rPr>
            <m:t>HHI = </m:t>
          </m:r>
          <m:nary>
            <m:naryPr>
              <m:chr m:val="∑"/>
              <m:limLoc m:val="subSup"/>
              <m:supHide m:val="1"/>
            </m:naryPr>
            <m:sub>
              <m:r>
                <m:rPr>
                  <m:sty m:val="p"/>
                </m:rPr>
                <m:t>j</m:t>
              </m:r>
            </m:sub>
            <m:sup/>
            <m:e>
              <m:sSubSup>
                <m:e>
                  <m:r>
                    <m:rPr>
                      <m:sty m:val="i"/>
                    </m:rPr>
                    <m:t>s</m:t>
                  </m:r>
                </m:e>
                <m:sub>
                  <m:r>
                    <m:rPr>
                      <m:sty m:val="i"/>
                    </m:rPr>
                    <m:t>j</m:t>
                  </m:r>
                </m:sub>
                <m:sup>
                  <m:r>
                    <m:rPr>
                      <m:sty m:val="p"/>
                    </m:rPr>
                    <m:t>2</m:t>
                  </m:r>
                </m:sup>
              </m:sSubSup>
            </m:e>
          </m:nary>
          <m:r>
            <m:rPr>
              <m:sty m:val="p"/>
            </m:rPr>
            <m:t>,   </m:t>
          </m:r>
          <m:nary>
            <m:naryPr>
              <m:chr m:val="∑"/>
              <m:limLoc m:val="subSup"/>
              <m:supHide m:val="1"/>
            </m:naryPr>
            <m:sub>
              <m:r>
                <m:rPr>
                  <m:sty m:val="p"/>
                </m:rPr>
                <m:t>j</m:t>
              </m:r>
            </m:sub>
            <m:sup/>
            <m:e>
              <m:sSub>
                <m:e>
                  <m:r>
                    <m:rPr>
                      <m:sty m:val="i"/>
                    </m:rPr>
                    <m:t>s</m:t>
                  </m:r>
                </m:e>
                <m:sub>
                  <m:r>
                    <m:rPr>
                      <m:sty m:val="i"/>
                    </m:rPr>
                    <m:t>j</m:t>
                  </m:r>
                </m:sub>
              </m:sSub>
            </m:e>
          </m:nary>
          <m:r>
            <m:rPr>
              <m:sty m:val="p"/>
            </m:rPr>
            <m:t> = 1</m:t>
          </m:r>
        </m:oMath>
      </m:oMathPara>
    </w:p>
    <w:p>
      <w:r>
        <w:t>При N возможных направлениях и долях, выраженных от нуля до единицы, HHI находится в пределах от 1/N до 1. Нижняя граница достигается при равных долях, верхняя — при поставках на один рынок. Квадраты придают больший вес крупным направлениям. Аналогично рассчитываются товарная концентрация и концентрация отдельных сочетаний товара и рынка, но эти индексы описывают разные распределения. На результат влияет и детализация: объединение направлений с положительными долями повышает HHI. Поэтому сопоставление требует одинаковой сетки категорий; укрупненный остаток остальных стран нельзя трактовать как отдельный однородный рынок.</w:t>
      </w:r>
    </w:p>
    <w:p>
      <w:r>
        <w:t>Для содержательного сопоставления полезно различать количество направлений и их экономический вес. Если почти весь экспорт приходится на один рынок, наличие нескольких малых партнеров мало меняет структуру зависимости. При равных долях, напротив, ни одно направление не определяет совокупную стоимость в той же степени. Обратная величина HHI может интерпретироваться как число равновеликих направлений, дающих такую же концентрацию: при четырех одинаковых долях HHI равен 0,25, а его обратная величина равна четырем. Это преобразование облегчает интерпретацию неравномерности, но не добавляет сведений о совместных колебаниях потоков.</w:t>
      </w:r>
    </w:p>
    <w:p>
      <w:r>
        <w:t>Сравнение концентрации требует сохранения единицы анализа. Индекс по странам назначения характеризует географию продаж, индекс по товарным кодам — состав экспортируемой продукции. Индекс по всем сочетаниям товара и направления учитывает их совместное распределение. Изменение одного показателя не предопределяет изменение остальных. Например, увеличение доли товара, продаваемого на большом числе рынков, способно снизить географическую концентрацию и одновременно усилить товарную. Это не противоречие между показателями, а отражение разных сторон экспортной структуры.</w:t>
      </w:r>
    </w:p>
    <w:p>
      <w:r>
        <w:t>Индекс описывает распределение весов, но не содержит сведений о колебаниях отдельных потоков. Две экспортные структуры с одинаковыми долями могут различаться по составу товаров, изменчивости цен и синхронности спроса. Экономическое обоснование диверсификации как способа уменьшения колебаний связано с портфельным подходом. В классической работе Markowitz риск совокупного портфеля определяется не только рисками отдельных составляющих, но и ковариациями между ними. Применительно к экспорту этот принцип позволяет перейти от количества рынков к анализу совместной динамики поставок.</w:t>
      </w:r>
      <w:r>
        <w:rPr>
          <w:rStyle w:val="FootnoteReference"/>
        </w:rPr>
        <w:footnoteReference w:id="20"/>
      </w:r>
      <w:r/>
    </w:p>
    <w:p>
      <w:r>
        <w:t>Под волатильностью далее понимается стандартное отклонение темпов изменения экспортной стоимости за выбранный период. Соответствующая дисперсия измеряет разброс темпов относительно их среднего, учитывая и рост, и падение. Поэтому она не является мерой только неблагоприятных исходов и не характеризует вероятность прекращения поставок. Такое определение соответствует задаче оценки амплитуды исторических колебаний.</w:t>
      </w:r>
    </w:p>
    <w:p>
      <w:r>
        <w:t>Выбор темпов изменения позволяет отделить относительную изменчивость от размера экспортера. При сопоставлении дисперсий стоимостных уровней более крупный поток может выглядеть более нестабильным только из-за масштаба. Использование относительных изменений делает единицу сравнения общей, однако сохраняет зависимость результата от способа расчета темпа и от временного интервала. Редкие крупные отгрузки, сезонность и длительные отраслевые подъемы воздействуют на показатели по-разному. Поэтому волатильность всегда должна сопровождаться указанием того, какая динамика и на каком горизонте измеряется.</w:t>
      </w:r>
    </w:p>
    <w:p>
      <w:pPr>
        <w:keepNext/>
      </w:pPr>
      <w:r>
        <w:t xml:space="preserve">Пусть </w:t>
      </w:r>
      <m:oMath>
        <m:sSub>
          <m:e>
            <m:r>
              <m:rPr>
                <m:sty m:val="i"/>
              </m:rPr>
              <m:t>g</m:t>
            </m:r>
          </m:e>
          <m:sub>
            <m:r>
              <m:rPr>
                <m:sty m:val="i"/>
              </m:rPr>
              <m:t>i</m:t>
            </m:r>
          </m:sub>
        </m:sSub>
      </m:oMath>
      <w:r>
        <w:t xml:space="preserve"> — темп изменения стоимости поставок в ячейке i, объединяющей товар и направление, а </w:t>
      </w:r>
      <m:oMath>
        <m:sSub>
          <m:e>
            <m:r>
              <m:rPr>
                <m:sty m:val="i"/>
              </m:rPr>
              <m:t>w</m:t>
            </m:r>
          </m:e>
          <m:sub>
            <m:r>
              <m:rPr>
                <m:sty m:val="i"/>
              </m:rPr>
              <m:t>i</m:t>
            </m:r>
          </m:sub>
        </m:sSub>
      </m:oMath>
      <w:r>
        <w:t xml:space="preserve"> — ее фиксированный неотрицательный вес; сумма весов равна единице. Взвешенная сумма темпов обозначается G, ковариационная матрица темпов — Σ. Для одной и той же совокупности наблюдений выполняется тождество:</w:t>
      </w:r>
    </w:p>
    <w:p>
      <w:pPr>
        <w:spacing w:before="120" w:after="120" w:line="276" w:lineRule="auto"/>
        <w:ind w:firstLine="0"/>
        <w:jc w:val="center"/>
      </w:pPr>
      <m:oMathPara>
        <m:oMathParaPr>
          <m:jc m:val="center"/>
        </m:oMathParaPr>
        <m:oMath>
          <m:r>
            <m:rPr>
              <m:sty m:val="p"/>
            </m:rPr>
            <m:t>Var(</m:t>
          </m:r>
          <m:r>
            <m:rPr>
              <m:sty m:val="i"/>
            </m:rPr>
            <m:t>G</m:t>
          </m:r>
          <m:r>
            <m:rPr>
              <m:sty m:val="p"/>
            </m:rPr>
            <m:t>) = </m:t>
          </m:r>
          <m:sSup>
            <m:e>
              <m:r>
                <m:rPr>
                  <m:sty m:val="i"/>
                </m:rPr>
                <m:t>w</m:t>
              </m:r>
            </m:e>
            <m:sup>
              <m:r>
                <m:rPr>
                  <m:sty m:val="p"/>
                </m:rPr>
                <m:t>T</m:t>
              </m:r>
            </m:sup>
          </m:sSup>
          <m:r>
            <m:rPr>
              <m:sty m:val="p"/>
            </m:rPr>
            <m:t>Σ</m:t>
          </m:r>
          <m:r>
            <m:rPr>
              <m:sty m:val="i"/>
            </m:rPr>
            <m:t>w</m:t>
          </m:r>
          <m:r>
            <m:rPr>
              <m:sty m:val="p"/>
            </m:rPr>
            <m:t> = </m:t>
          </m:r>
          <m:nary>
            <m:naryPr>
              <m:chr m:val="∑"/>
              <m:limLoc m:val="subSup"/>
              <m:supHide m:val="1"/>
            </m:naryPr>
            <m:sub>
              <m:r>
                <m:rPr>
                  <m:sty m:val="p"/>
                </m:rPr>
                <m:t>i</m:t>
              </m:r>
            </m:sub>
            <m:sup/>
            <m:e>
              <m:sSubSup>
                <m:e>
                  <m:r>
                    <m:rPr>
                      <m:sty m:val="i"/>
                    </m:rPr>
                    <m:t>w</m:t>
                  </m:r>
                </m:e>
                <m:sub>
                  <m:r>
                    <m:rPr>
                      <m:sty m:val="i"/>
                    </m:rPr>
                    <m:t>i</m:t>
                  </m:r>
                </m:sub>
                <m:sup>
                  <m:r>
                    <m:rPr>
                      <m:sty m:val="p"/>
                    </m:rPr>
                    <m:t>2</m:t>
                  </m:r>
                </m:sup>
              </m:sSubSup>
              <m:r>
                <m:rPr>
                  <m:sty m:val="p"/>
                </m:rPr>
                <m:t> Var(</m:t>
              </m:r>
              <m:sSub>
                <m:e>
                  <m:r>
                    <m:rPr>
                      <m:sty m:val="i"/>
                    </m:rPr>
                    <m:t>g</m:t>
                  </m:r>
                </m:e>
                <m:sub>
                  <m:r>
                    <m:rPr>
                      <m:sty m:val="i"/>
                    </m:rPr>
                    <m:t>i</m:t>
                  </m:r>
                </m:sub>
              </m:sSub>
              <m:r>
                <m:rPr>
                  <m:sty m:val="p"/>
                </m:rPr>
                <m:t>)</m:t>
              </m:r>
            </m:e>
          </m:nary>
          <m:r>
            <m:rPr>
              <m:sty m:val="p"/>
            </m:rPr>
            <m:t> + 2 </m:t>
          </m:r>
          <m:nary>
            <m:naryPr>
              <m:chr m:val="∑"/>
              <m:limLoc m:val="subSup"/>
              <m:supHide m:val="1"/>
            </m:naryPr>
            <m:sub>
              <m:r>
                <m:rPr>
                  <m:sty m:val="p"/>
                </m:rPr>
                <m:t>i&lt;j</m:t>
              </m:r>
            </m:sub>
            <m:sup/>
            <m:e>
              <m:sSub>
                <m:e>
                  <m:r>
                    <m:rPr>
                      <m:sty m:val="i"/>
                    </m:rPr>
                    <m:t>w</m:t>
                  </m:r>
                </m:e>
                <m:sub>
                  <m:r>
                    <m:rPr>
                      <m:sty m:val="i"/>
                    </m:rPr>
                    <m:t>i</m:t>
                  </m:r>
                </m:sub>
              </m:sSub>
              <m:r>
                <m:rPr>
                  <m:sty m:val="p"/>
                </m:rPr>
                <m:t> </m:t>
              </m:r>
              <m:sSub>
                <m:e>
                  <m:r>
                    <m:rPr>
                      <m:sty m:val="i"/>
                    </m:rPr>
                    <m:t>w</m:t>
                  </m:r>
                </m:e>
                <m:sub>
                  <m:r>
                    <m:rPr>
                      <m:sty m:val="i"/>
                    </m:rPr>
                    <m:t>j</m:t>
                  </m:r>
                </m:sub>
              </m:sSub>
              <m:r>
                <m:rPr>
                  <m:sty m:val="p"/>
                </m:rPr>
                <m:t> Cov(</m:t>
              </m:r>
              <m:sSub>
                <m:e>
                  <m:r>
                    <m:rPr>
                      <m:sty m:val="i"/>
                    </m:rPr>
                    <m:t>g</m:t>
                  </m:r>
                </m:e>
                <m:sub>
                  <m:r>
                    <m:rPr>
                      <m:sty m:val="i"/>
                    </m:rPr>
                    <m:t>i</m:t>
                  </m:r>
                </m:sub>
              </m:sSub>
              <m:r>
                <m:rPr>
                  <m:sty m:val="p"/>
                </m:rPr>
                <m:t>, </m:t>
              </m:r>
              <m:sSub>
                <m:e>
                  <m:r>
                    <m:rPr>
                      <m:sty m:val="i"/>
                    </m:rPr>
                    <m:t>g</m:t>
                  </m:r>
                </m:e>
                <m:sub>
                  <m:r>
                    <m:rPr>
                      <m:sty m:val="i"/>
                    </m:rPr>
                    <m:t>j</m:t>
                  </m:r>
                </m:sub>
              </m:sSub>
              <m:r>
                <m:rPr>
                  <m:sty m:val="p"/>
                </m:rPr>
                <m:t>)</m:t>
              </m:r>
            </m:e>
          </m:nary>
        </m:oMath>
      </m:oMathPara>
    </w:p>
    <w:p>
      <w:r>
        <w:t>Первое слагаемое отражает собственные дисперсии потоков с учетом их весов. Второе характеризует совместные колебания; суммирование по i &lt; j учитывает каждую пару один раз, поэтому перед суммой стоит множитель 2. Положительные ковариации увеличивают дисперсию относительно случая с теми же весами и собственными дисперсиями, но независимыми потоками. Отрицательные ковариации создают возможность взаимной компенсации. Значение нового направления определяется тем самым его связью со всем экспортным портфелем.</w:t>
      </w:r>
    </w:p>
    <w:p>
      <w:r>
        <w:t>Действие ковариации можно показать на условном примере двух потоков с одинаковыми весами и стандартным отклонением темпов по 10 процентных пунктов. При нулевой ковариации дисперсия их взвешенной суммы составляет 50 квадратов процентных пунктов, а стандартное отклонение — около 7,1 пункта. Если же их отклонения от средних полностью совпадают, стандартное отклонение суммы остается равным 10 пунктам. Доли и HHI в обоих случаях одинаковы. Различие результата целиком определяется тем, насколько изменения двух потоков компенсируют или воспроизводят друг друга.</w:t>
      </w:r>
    </w:p>
    <w:p>
      <w:r>
        <w:t>Связь концентрации с дисперсией особенно наглядна при одинаковой дисперсии всех потоков и нулевых ковариациях. Тогда дисперсия взвешенной суммы равна общей дисперсии одного потока, умноженной на HHI тех же ячеек. Это частный случай, в котором уменьшение концентрации однозначно снижает волатильность. В общем случае перенос веса на менее крупный, но более волатильный поток либо на направление с высокой ковариацией с остальными поставками способен дать противоположный результат. Поэтому даже снижение HHI на неизменной сетке еще не определяет знак изменения дисперсии.</w:t>
      </w:r>
    </w:p>
    <w:p>
      <w:r>
        <w:t>При перераспределении весов необходимо учитывать обе стороны изменения: доля одного потока уменьшается, а другого увеличивается. Значение имеет не только собственная волатильность нового направления, но и его связь со всеми сохраняющимися поставками. Направление с умеренными отдельными колебаниями может усиливать общий спад, если его динамика совпадает с динамикой крупнейшей части экспорта. Направление с более выраженными колебаниями, напротив, иногда сглаживает общий показатель благодаря их несовпадению. Следовательно, оценка географических приоритетов зависит от исходного состава экспортного портфеля.</w:t>
      </w:r>
    </w:p>
    <w:p>
      <w:r>
        <w:t>Значение состава специализации раскрывается в работе Koren и Tenreyro. Авторы разделяют вклад отраслевых колебаний, общих страновых шоков и их ковариации в волатильность выпуска. По мере развития экономики меняется не только степень концентрации, но и набор отраслей, на которых она специализируется. Для интегральных схем аналогичный вопрос возникает внутри одной отрасли: перераспределение между категориями с разной динамикой может менять волатильность при неизменном количестве товарных кодов.</w:t>
      </w:r>
      <w:r>
        <w:rPr>
          <w:rStyle w:val="FootnoteReference"/>
        </w:rPr>
        <w:footnoteReference w:id="21"/>
      </w:r>
      <w:r/>
    </w:p>
    <w:p>
      <w:r>
        <w:t>Следует также различать концентрацию внутри одной отрасли и специализацию экономики в целом. Перераспределение между видами интегральных схем может изменить отраслевую волатильность, не создавая сопоставимой диверсификации всего национального экспорта. И наоборот, развитие других отраслей может сглаживать совокупные поступления при сохранении прежнего состава поставок чипов. Теоретический механизм суммирования рисков применим на обоих уровнях, но единицы наблюдения и экономические выводы различаются. В настоящей работе исследуется структура конкретной товарной группы, поэтому ее результаты прежде всего относятся к этой группе.</w:t>
      </w:r>
    </w:p>
    <w:p>
      <w:r>
        <w:t>Caselli и соавторы рассматривают совместное действие отраслевой специализации и международной диверсификации. Расширение торговли меняет подверженность отраслевым шокам, но одновременно позволяет распределять источники спроса и предложения между странами. Результат зависит от дисперсий и ковариаций шоков, а также от свойств отраслей специализации. Исследование относится к волатильности дохода в модели общего равновесия. Для анализа номинального экспорта отдельной товарной группы применим прежде всего этот механизм; численные оценки авторов характеризуют другую экономическую величину.</w:t>
      </w:r>
      <w:r>
        <w:rPr>
          <w:rStyle w:val="FootnoteReference"/>
        </w:rPr>
        <w:footnoteReference w:id="22"/>
      </w:r>
      <w:r/>
    </w:p>
    <w:p>
      <w:r>
        <w:t>На уровне фирм значение географического разнообразия зависит и от постоянства торговых связей. Vannoorenberghe, Wang и Yu обнаруживают, что среди небольших китайских экспортеров более разнообразной географии соответствует более высокая волатильность, тогда как среди крупных связь обратная. В предложенной модели фиксированные издержки выхода на рынок и краткосрочные шоки спроса делают часть поставок малых фирм эпизодическими. Таким образом, расширение набора направлений может менять сам характер колебаний. Фирменный механизм не переносится автоматически на агрегированный экспорт страны, но показывает границы предположения о неизменных рисках при смене структуры.</w:t>
      </w:r>
      <w:r>
        <w:rPr>
          <w:rStyle w:val="FootnoteReference"/>
        </w:rPr>
        <w:footnoteReference w:id="23"/>
      </w:r>
      <w:r/>
    </w:p>
    <w:p>
      <w:r>
        <w:t>Постоянство торговых связей особенно важно для интерпретации небольших направлений. Появление поставок в отдельном месяце не обязательно означает формирование устойчивого канала сбыта. При расширении географии часть новых потоков может иметь малый объем и нерегулярный характер. С другой стороны, несколько крупных фирм способны поддерживать устойчивые связи даже при высокой отраслевой концентрации. Поэтому результаты фирменных исследований следует переносить на уровень страны с учетом агрегирования: изменения отдельных предприятий могут взаимно сглаживаться либо совпадать под действием общих условий.</w:t>
      </w:r>
    </w:p>
    <w:p>
      <w:r>
        <w:t>Для полупроводников дополнительную роль играют общие источники спроса. Если несколько стран участвуют в изготовлении продукции для одного конечного рынка, их импорт компонентов может одновременно реагировать на его спад. Число непосредственных покупателей при этом превышает число независимых источников спроса. Аналогично падение мировых цен на память способно затронуть поставки одного экспортера во множество государств. Поэтому географическая диверсификация внутри товарной категории должна рассматриваться совместно с ее отраслевыми свойствами, а не как отдельная характеристика числа партнеров.</w:t>
      </w:r>
    </w:p>
    <w:p>
      <w:r>
        <w:t>Стабильность представляет только одну из характеристик экспортной структуры. Сокращение дисперсии не обязательно сопровождается ростом средней выручки, прибыльности или производительности. Освоение менее волатильного сегмента требует ресурсов, а специализация может приносить выгоды от масштаба и накопленных компетенций. Портфельная оценка экспортных долей поэтому используется для измерения исторической изменчивости, без отождествления минимальной дисперсии с оптимальной промышленной политикой.</w:t>
      </w:r>
    </w:p>
    <w:p>
      <w:r>
        <w:t>Издержки изменения структуры ограничивают непосредственное применение финансовой аналогии. Долю финансового актива можно изменить операцией на рынке, тогда как перестройка экспортного состава может требовать освоения продукции, изменения мощностей и заключения договоров. В модели Esposito возможность снизить риск сопоставляется с торговыми издержками и расходами выхода на рынок. Следовательно, исторически менее волатильное распределение продаж не становится автоматически наиболее выгодным и осуществимым. Для рекомендаций необходимо учитывать как свойства динамики, так и экономические условия изменения самих весов.</w:t>
      </w:r>
      <w:r>
        <w:rPr>
          <w:rStyle w:val="FootnoteReference"/>
        </w:rPr>
        <w:footnoteReference w:id="24"/>
      </w:r>
      <w:r/>
    </w:p>
    <w:p>
      <w:pPr>
        <w:keepNext/>
      </w:pPr>
      <w:r>
        <w:t xml:space="preserve">Для разделения товарного и географического измерений обозначим через </w:t>
      </w:r>
      <m:oMath>
        <m:sSub>
          <m:e>
            <m:r>
              <m:rPr>
                <m:sty m:val="i"/>
              </m:rPr>
              <m:t>a</m:t>
            </m:r>
          </m:e>
          <m:sub>
            <m:r>
              <m:rPr>
                <m:sty m:val="i"/>
              </m:rPr>
              <m:t>k</m:t>
            </m:r>
          </m:sub>
        </m:sSub>
      </m:oMath>
      <w:r>
        <w:t xml:space="preserve"> долю категории k в экспорте, а через </w:t>
      </w:r>
      <m:oMath>
        <m:sSub>
          <m:e>
            <m:r>
              <m:rPr>
                <m:sty m:val="i"/>
              </m:rPr>
              <m:t>b</m:t>
            </m:r>
          </m:e>
          <m:sub>
            <m:r>
              <m:rPr>
                <m:sty m:val="i"/>
              </m:rPr>
              <m:t>j|k</m:t>
            </m:r>
          </m:sub>
        </m:sSub>
      </m:oMath>
      <w:r>
        <w:t xml:space="preserve"> — долю направления j в поставках этой категории. При положительном суммарном экспорте каждой категории доля ячейки представляется произведением:</w:t>
      </w:r>
    </w:p>
    <w:p>
      <w:pPr>
        <w:spacing w:before="120" w:after="120" w:line="276" w:lineRule="auto"/>
        <w:ind w:firstLine="0"/>
        <w:jc w:val="center"/>
      </w:pPr>
      <m:oMathPara>
        <m:oMathParaPr>
          <m:jc m:val="center"/>
        </m:oMathParaPr>
        <m:oMath>
          <m:sSub>
            <m:e>
              <m:r>
                <m:rPr>
                  <m:sty m:val="i"/>
                </m:rPr>
                <m:t>w</m:t>
              </m:r>
            </m:e>
            <m:sub>
              <m:r>
                <m:rPr>
                  <m:sty m:val="i"/>
                </m:rPr>
                <m:t>k,j</m:t>
              </m:r>
            </m:sub>
          </m:sSub>
          <m:r>
            <m:rPr>
              <m:sty m:val="p"/>
            </m:rPr>
            <m:t> = </m:t>
          </m:r>
          <m:sSub>
            <m:e>
              <m:r>
                <m:rPr>
                  <m:sty m:val="i"/>
                </m:rPr>
                <m:t>a</m:t>
              </m:r>
            </m:e>
            <m:sub>
              <m:r>
                <m:rPr>
                  <m:sty m:val="i"/>
                </m:rPr>
                <m:t>k</m:t>
              </m:r>
            </m:sub>
          </m:sSub>
          <m:r>
            <m:rPr>
              <m:sty m:val="p"/>
            </m:rPr>
            <m:t> </m:t>
          </m:r>
          <m:sSub>
            <m:e>
              <m:r>
                <m:rPr>
                  <m:sty m:val="i"/>
                </m:rPr>
                <m:t>b</m:t>
              </m:r>
            </m:e>
            <m:sub>
              <m:r>
                <m:rPr>
                  <m:sty m:val="i"/>
                </m:rPr>
                <m:t>j|k</m:t>
              </m:r>
            </m:sub>
          </m:sSub>
          <m:r>
            <m:rPr>
              <m:sty m:val="p"/>
            </m:rPr>
            <m:t>,   </m:t>
          </m:r>
          <m:nary>
            <m:naryPr>
              <m:chr m:val="∑"/>
              <m:limLoc m:val="subSup"/>
              <m:supHide m:val="1"/>
            </m:naryPr>
            <m:sub>
              <m:r>
                <m:rPr>
                  <m:sty m:val="p"/>
                </m:rPr>
                <m:t>k</m:t>
              </m:r>
            </m:sub>
            <m:sup/>
            <m:e>
              <m:sSub>
                <m:e>
                  <m:r>
                    <m:rPr>
                      <m:sty m:val="i"/>
                    </m:rPr>
                    <m:t>a</m:t>
                  </m:r>
                </m:e>
                <m:sub>
                  <m:r>
                    <m:rPr>
                      <m:sty m:val="i"/>
                    </m:rPr>
                    <m:t>k</m:t>
                  </m:r>
                </m:sub>
              </m:sSub>
            </m:e>
          </m:nary>
          <m:r>
            <m:rPr>
              <m:sty m:val="p"/>
            </m:rPr>
            <m:t> = 1,   </m:t>
          </m:r>
          <m:nary>
            <m:naryPr>
              <m:chr m:val="∑"/>
              <m:limLoc m:val="subSup"/>
              <m:supHide m:val="1"/>
            </m:naryPr>
            <m:sub>
              <m:r>
                <m:rPr>
                  <m:sty m:val="p"/>
                </m:rPr>
                <m:t>j</m:t>
              </m:r>
            </m:sub>
            <m:sup/>
            <m:e>
              <m:sSub>
                <m:e>
                  <m:r>
                    <m:rPr>
                      <m:sty m:val="i"/>
                    </m:rPr>
                    <m:t>b</m:t>
                  </m:r>
                </m:e>
                <m:sub>
                  <m:r>
                    <m:rPr>
                      <m:sty m:val="i"/>
                    </m:rPr>
                    <m:t>j|k</m:t>
                  </m:r>
                </m:sub>
              </m:sSub>
            </m:e>
          </m:nary>
          <m:r>
            <m:rPr>
              <m:sty m:val="p"/>
            </m:rPr>
            <m:t> = 1</m:t>
          </m:r>
        </m:oMath>
      </m:oMathPara>
    </w:p>
    <w:p>
      <w:r>
        <w:t>Сумма географических долей равна единице отдельно внутри каждой категории. Такое представление позволяет различать изменение товарных весов и перераспределение направлений при заданном товарном составе. Например, совокупная доля страны-покупателя может уменьшиться вследствие сокращения веса памяти, даже если география самой памяти осталась прежней. Географический вклад в дальнейших расчетах относится именно к изменению распределений внутри товарных категорий. Он не совпадает по определению с изменением совокупной доли отдельной страны.</w:t>
      </w:r>
    </w:p>
    <w:p>
      <w:r>
        <w:t>Различие между совокупной географией и распределением внутри товара можно пояснить условным примером. Пусть доля одного рынка в поставках памяти выше, чем в поставках остальных схем. Если значение памяти в экспорте сокращается, совокупная доля этого рынка также может уменьшиться, хотя внутри каждой категории направления остались прежними. Такое изменение связано с товарным составом. Если же доля рынка меняется в поставках самой памяти, возникает самостоятельный географический сдвиг. Разделение этих случаев позволяет точнее описать, за счет какого измерения перестроился экспорт.</w:t>
      </w:r>
    </w:p>
    <w:p>
      <w:r>
        <w:t>Теоретический анализ связывает диверсификацию с волатильностью через изменение весов потоков, различия их собственных дисперсий и ковариации. Общий отраслевой цикл способен ограничивать выгоды от расширения географии, тогда как товарный сдвиг меняет экспозицию к этому циклу. Раздельное измерение двух структурных изменений позволяет установить, усиливают ли они друг друга или частично компенсируются.</w:t>
      </w:r>
    </w:p>
    <w:p>
      <w:pPr>
        <w:pStyle w:val="Heading1"/>
      </w:pPr>
      <w:r>
        <w:t>1.3 Подходы к оценке экспортной волатильности и результаты существующих исследований</w:t>
      </w:r>
    </w:p>
    <w:p>
      <w:r>
        <w:t>Эмпирические работы уточняют условия, при которых диверсификация сопровождается более устойчивой динамикой. Их результаты следует сопоставлять с учетом измеряемого показателя и уровня агрегации. Сокращение экспорта во время кризиса характеризует реакцию на отдельный эпизод, дисперсия темпов — разброс наблюдений за период, а показатели торговой сети — распределение связей и зависимостей. Для постановки настоящего исследования необходимо установить, какие стороны структурных изменений раскрывает каждый подход.</w:t>
      </w:r>
    </w:p>
    <w:p>
      <w:r>
        <w:t>Важную роль играет и уровень наблюдения. Данные фирмы позволяют связать экспорт с ее размером, производительностью и решениями о выходе на рынки. Межотраслевые данные характеризуют специализацию экономики, а статистика отдельных товаров — изменения внутри выбранной отрасли. Более подробная классификация расширяет возможности описания, но сама по себе не обеспечивает причинного объяснения. При сопоставлении литературы поэтому необходимо учитывать одновременно объект, частоту наблюдений, измеряемую величину и предпосылки метода. Именно такое сопоставление позволяет определить, какие результаты применимы к исследованию интегральных схем.</w:t>
      </w:r>
    </w:p>
    <w:p>
      <w:r>
        <w:t>На отраслевом уровне Lee и Yu изучают годовые данные по 24 отраслям обрабатывающей промышленности Кореи за 2000–2016 годы. В модели с фиксированными эффектами более высокая страновая диверсификация связана с меньшим сокращением экспорта во время кризиса 2009 года. Для товарной диверсификации и выявленных сравнительных преимуществ аналогичный результат в их спецификации не получен. Различие между двумя видами диверсификации тем самым имеет эмпирическое основание. Однако глубина падения в одном кризисе не равнозначна волатильности на всем интервале, а категории внутри интегральных схем существенно уже отраслей обрабатывающей промышленности.</w:t>
      </w:r>
      <w:r>
        <w:rPr>
          <w:rStyle w:val="FootnoteReference"/>
        </w:rPr>
        <w:footnoteReference w:id="25"/>
      </w:r>
      <w:r/>
    </w:p>
    <w:p>
      <w:r>
        <w:t>Меньшее падение в отдельном кризисе и меньший разброс темпов за несколько фаз цикла являются разными результатами. Поэтому для настоящей работы требуется оценка всей истории колебаний с отдельной проверкой роли ее наиболее нестабильных участков.</w:t>
      </w:r>
    </w:p>
    <w:p>
      <w:r>
        <w:t>Исследования фирм позволяют подробнее рассмотреть механизм передачи внешнего спроса. Hong и соавторы объединяют таможенные и финансовые данные китайских публичных компаний за 2005–2012 годы. Они используют рост ВВП стран назначения, взвешенный по докризисным экспортным долям, как инструмент для изменения экспорта при оценке производительности и прибыльности. Работа связывает диверсификацию с меньшими потерями во время мирового торгового спада. Такая интерпретация опирается на предпосылки об экзогенности внешнего спроса и его связи с результатами фирмы через экспорт. Само наличие наблюдений до и после кризиса этих предпосылок не заменяет.</w:t>
      </w:r>
      <w:r>
        <w:rPr>
          <w:rStyle w:val="FootnoteReference"/>
        </w:rPr>
        <w:footnoteReference w:id="26"/>
      </w:r>
      <w:r/>
    </w:p>
    <w:p>
      <w:r>
        <w:t>В модели Esposito географическое распределение продаж является результатом выбора фирм в условиях риска. Возможности диверсификации зависят от ковариации спроса между рынками; эмпирическая часть использует данные португальских предприятий. Эта постановка объясняет, почему один и тот же рынок может иметь разное значение для экспортеров с различным набором остальных направлений. Она также показывает, что экспортные доли сами реагируют на ожидаемые риски и издержки выхода на рынок. Поэтому наблюдаемая связь долей и волатильности без дополнительных условий не определяет причинное воздействие диверсификации.</w:t>
      </w:r>
      <w:r>
        <w:rPr>
          <w:rStyle w:val="FootnoteReference"/>
        </w:rPr>
        <w:footnoteReference w:id="27"/>
      </w:r>
      <w:r/>
    </w:p>
    <w:p>
      <w:r>
        <w:t>Экспортная структура эндогенна: устойчивые предприятия могут легче осваивать новые рынки, а ожидание спада — побуждать к смене товарных долей. Перевзвешивание отделяет арифметическое значение структуры при заданных колебаниях. Объяснение выбора этой структуры и реакции участников на другую политику требует модели их решений.</w:t>
      </w:r>
    </w:p>
    <w:p>
      <w:r>
        <w:t>Barigozzi и соавторы исследуют совместные колебания французских экспортных транзакций за 1993–2017 годы с помощью динамической факторной модели. На квартальных данных по сочетаниям фирмы и страны назначения выделяются общий, специфический для направления и индивидуальный компоненты. Результаты показывают неодинаковую связь географической диверсификации с этими составляющими волатильности: сглаживание общих колебаний не означает такого же изменения индивидуальной части. Этот подход разделяет источники совместной динамики. В настоящем исследовании решается иной, более узкий вопрос: как меняется дисперсия при замене товарных и географических весов на неизменной истории потоков.</w:t>
      </w:r>
      <w:r>
        <w:rPr>
          <w:rStyle w:val="FootnoteReference"/>
        </w:rPr>
        <w:footnoteReference w:id="28"/>
      </w:r>
      <w:r/>
    </w:p>
    <w:p>
      <w:r>
        <w:t>Факторная модель разделяет источники динамики потоков, а структурное перевзвешивание сравнивает способы их агрегирования. Эти подходы дополняют друг друга: первый объясняет происхождение совместных колебаний, второй — их значение при разных экспортных долях.</w:t>
      </w:r>
    </w:p>
    <w:p>
      <w:r>
        <w:t>Отраслевая литература показывает, почему такое сравнение должно сохранять товарную детализацию. Shin и Shin исследуют корейские торговые потоки, различая память, системные полупроводники, оборудование и части; они сочетают анализ потоков с байесовской сетью. Koo на данных UN Comtrade за 2015–2025 годы сопоставляет память, прочие интегральные схемы и полупроводниковые пластины. Изменения концентрации и направлений в этих сегментах неодинаковы. Обобщение на всю полупроводниковую отрасль может поэтому скрывать противоположные сдвиги отдельных категорий. Вместе с тем используемые границы шире четырех категорий интегральных схем, выбранных в настоящей работе.</w:t>
      </w:r>
      <w:r>
        <w:rPr>
          <w:rStyle w:val="FootnoteReference"/>
        </w:rPr>
        <w:footnoteReference w:id="29"/>
      </w:r>
      <w:r>
        <w:rPr>
          <w:rFonts w:ascii="Times New Roman" w:hAnsi="Times New Roman"/>
          <w:b w:val="0"/>
          <w:color w:val="000000"/>
          <w:sz w:val="18"/>
          <w:vertAlign w:val="superscript"/>
        </w:rPr>
        <w:t>,</w:t>
      </w:r>
      <w:r>
        <w:rPr>
          <w:rStyle w:val="FootnoteReference"/>
        </w:rPr>
        <w:footnoteReference w:id="30"/>
      </w:r>
      <w:r/>
    </w:p>
    <w:p>
      <w:r>
        <w:t>Различия отраслевых результатов следует сначала проверить на уровне товарного охвата. Совместный показатель по чипам, материалам и оборудованию объединяет спрос на компоненты с инвестициями в новые мощности. Узкая совокупность интегральных схем позволяет точнее поставить вопрос, сохраняя за пределами анализа другие формы специализации страны.</w:t>
      </w:r>
    </w:p>
    <w:p>
      <w:r>
        <w:t>Показатели конкурентоспособности и изменения экспортной стоимости отвечают на смежные вопросы. Kitetu, Mbante II и Ko сопоставляют Корею и Японию с помощью индексов сравнительных преимуществ и торговой взаимодополняемости, включая шестизначные категории интегральных схем. Yu и Yu используют HHI и выявленные сравнительные преимущества для экспорта США за 2015–2024 годы. В работе Hong к корейским поставкам на основные рынки применяется модель постоянных рыночных долей. Эти постановки характеризуют специализацию и изменение объемов стоимостной торговли. Переход к дисперсии месячных темпов требует отдельно учитывать совместную динамику составляющих потоков.</w:t>
      </w:r>
      <w:r>
        <w:rPr>
          <w:rStyle w:val="FootnoteReference"/>
        </w:rPr>
        <w:footnoteReference w:id="31"/>
      </w:r>
      <w:r>
        <w:rPr>
          <w:rFonts w:ascii="Times New Roman" w:hAnsi="Times New Roman"/>
          <w:b w:val="0"/>
          <w:color w:val="000000"/>
          <w:sz w:val="18"/>
          <w:vertAlign w:val="superscript"/>
        </w:rPr>
        <w:t>,</w:t>
      </w:r>
      <w:r>
        <w:rPr>
          <w:rStyle w:val="FootnoteReference"/>
        </w:rPr>
        <w:footnoteReference w:id="32"/>
      </w:r>
      <w:r>
        <w:rPr>
          <w:rFonts w:ascii="Times New Roman" w:hAnsi="Times New Roman"/>
          <w:b w:val="0"/>
          <w:color w:val="000000"/>
          <w:sz w:val="18"/>
          <w:vertAlign w:val="superscript"/>
        </w:rPr>
        <w:t>,</w:t>
      </w:r>
      <w:r>
        <w:rPr>
          <w:rStyle w:val="FootnoteReference"/>
        </w:rPr>
        <w:footnoteReference w:id="33"/>
      </w:r>
      <w:r/>
    </w:p>
    <w:p>
      <w:r>
        <w:t>Не следует отождествлять и различные значения устойчивости. В аннотации Kim и Lee описано совместное использование концентрации, энтропии и сетевых показателей на данных корейской полупроводниковой торговли за 2013, 2018 и 2023 годы. У Kim и Park экспортный портфель Кореи за 1988–2017 годы рассматривается с помощью HHI, коэффициента Шарпа и Value-at-Risk. Эти работы подтверждают наличие исследований зависимости и риска в близкой предметной области. Поскольку здесь доступны только их аннотации, сопоставление ограничивается заявленными данными и методами; на них не основывается утверждение об отсутствии аналогичных расчетов.</w:t>
      </w:r>
      <w:r>
        <w:rPr>
          <w:rStyle w:val="FootnoteReference"/>
        </w:rPr>
        <w:footnoteReference w:id="34"/>
      </w:r>
      <w:r>
        <w:rPr>
          <w:rFonts w:ascii="Times New Roman" w:hAnsi="Times New Roman"/>
          <w:b w:val="0"/>
          <w:color w:val="000000"/>
          <w:sz w:val="18"/>
          <w:vertAlign w:val="superscript"/>
        </w:rPr>
        <w:t>,</w:t>
      </w:r>
      <w:r>
        <w:rPr>
          <w:rStyle w:val="FootnoteReference"/>
        </w:rPr>
        <w:footnoteReference w:id="35"/>
      </w:r>
      <w:r/>
    </w:p>
    <w:p>
      <w:r>
        <w:t>Наиболее близкий содержательный ориентир дает исследование Jo и Jung. Помимо объяснения колебаний цен на память, авторы рассчитывают изменение корейского экспорта в первом квартале 2023 года при замене соотношения памяти и остальных полупроводников на среднемировое. Темпы изменения двух сегментов при этом фиксируются. Следовательно, сценарное перевзвешивание товарного состава уже применяется в отраслевой литературе. Отличие настоящей постановки заключается в переходе от падения за один эпизод к дисперсии на общем историческом интервале и в одновременном рассмотрении географии внутри товарных категорий.</w:t>
      </w:r>
      <w:r>
        <w:rPr>
          <w:rStyle w:val="FootnoteReference"/>
        </w:rPr>
        <w:footnoteReference w:id="36"/>
      </w:r>
      <w:r/>
    </w:p>
    <w:p>
      <w:r>
        <w:t>Применение единой истории темпов к разным структурам сохраняет условие сценария KDI: меняются веса, но не поведение участников и не рыночные условия. Полученная разность характеризует подверженность наблюдавшимся колебаниям; она не показывает стоимость или результат фактического перехода к другому составу экспорта.</w:t>
      </w:r>
    </w:p>
    <w:p>
      <w:r>
        <w:t>Банк Кореи, в свою очередь, сопоставляет распределения годовых темпов экспорта Кореи, Японии и Тайваня и рассматривает зависимость от конечного спроса. Этот анализ связывает различия колебаний с высокой долей памяти и особенностями применения чипов. Таким образом, сравнение стран и значение памяти уже имеют прямых предшественников. Дальнейшее развитие вопроса состоит в количественном разделении товарного и географического изменений при одинаковом способе расчета, с учетом их взаимодействия и неопределенности оценки.</w:t>
      </w:r>
      <w:r>
        <w:rPr>
          <w:rStyle w:val="FootnoteReference"/>
        </w:rPr>
        <w:footnoteReference w:id="37"/>
      </w:r>
      <w:r/>
    </w:p>
    <w:p>
      <w:r>
        <w:t>Рассмотренные исследования позволяют конкретизировать вклад настоящей работы. В отличие от оценки падения за один эпизод, сравнивается дисперсия месячных темпов на общем интервале. Товарные доли и география внутри категорий изменяются раздельно, что позволяет выявить их взаимную компенсацию, а разложение на собственные дисперсии и ковариации объясняет ее механизм. Сопоставление Японии и Кореи при одинаковых определениях дополнено оценкой неопределенности и чувствительности к историческому окну. Новым результатом выступает такое эмпирическое сопоставление; используемые принципы перевзвешивания и декомпозиции разработаны в предшествующей литературе.</w:t>
      </w:r>
    </w:p>
    <w:p>
      <w:r>
        <w:t>Одновременное изменение нескольких характеристик структуры ставит вопрос о разделении их вкладов. Последовательная замена товарных долей и географии может давать разные промежуточные результаты в зависимости от очередности. Принцип Шепли позволяет усреднить предельный вклад каждого фактора по возможным порядкам замены. Как показано у Shorrocks, такой подход обеспечивает точное аддитивное разложение. Для двух факторов взаимодействие распределяется между ними, а вклады в сумме дают общее изменение выбранного показателя. Это свойство делает подход полезным для атрибуции структурных сдвигов при явно определенных условиях сравнения.</w:t>
      </w:r>
      <w:r>
        <w:rPr>
          <w:rStyle w:val="FootnoteReference"/>
        </w:rPr>
        <w:footnoteReference w:id="38"/>
      </w:r>
      <w:r/>
    </w:p>
    <w:p>
      <w:r>
        <w:t>Подробное определение месячных темпов, построение весов 2017 и 2024 годов и учет неопределенности приведены в следующей главе. Эти процедуры необходимы для проверки, сохраняется ли найденное соотношение вкладов при изменении способов расчета.</w:t>
      </w:r>
    </w:p>
    <w:p>
      <w:r>
        <w:t>Результаты структурного анализа используются для обоснования направлений дальнейшей диверсификации. Их практическая применимость зависит от спроса, затрат освоения продукции и технологических возможностей производителей; эти условия рассматриваются в третьей главе.</w:t>
      </w:r>
    </w:p>
    <w:p>
      <w:pPr>
        <w:pStyle w:val="Heading1"/>
        <w:pageBreakBefore/>
      </w:pPr>
      <w:r>
        <w:t>Список использованных источников к первой главе</w:t>
      </w:r>
    </w:p>
    <w:p>
      <w:pPr>
        <w:spacing w:line="276" w:lineRule="auto" w:after="60"/>
        <w:ind w:hanging="397" w:left="397"/>
      </w:pPr>
      <w:r>
        <w:t>1. Bank of Korea (2023). Characteristics of Demand Structure for Korea’s Semiconductors and Implications. Korea Economic Outlook, May, 53–62; English release 31 July.</w:t>
      </w:r>
    </w:p>
    <w:p>
      <w:pPr>
        <w:spacing w:line="276" w:lineRule="auto" w:after="60"/>
        <w:ind w:hanging="397" w:left="397"/>
      </w:pPr>
      <w:r>
        <w:t>2. Barigozzi M.; Cuzzola A.; Grazzi M.; Moschella D. (2025; online 2024). Factoring in the Micro: A Transaction-Level Dynamic Factor Approach to the Decomposition of Export Volatility. Oxford Bulletin of Economics and Statistics 87(1), 155–184. DOI: 10.1111/obes.12639.</w:t>
      </w:r>
    </w:p>
    <w:p>
      <w:pPr>
        <w:spacing w:line="276" w:lineRule="auto" w:after="60"/>
        <w:ind w:hanging="397" w:left="397"/>
      </w:pPr>
      <w:r>
        <w:t>3. Cadot O.; Carrère C.; Strauss-Kahn V. (2013). Trade Diversification, Income, and Growth: What Do We Know? Journal of Economic Surveys 27(4), 790–812. DOI: 10.1111/j.1467-6419.2011.00719.x. Использованная версия: Cadot O.; Carrère C.; Strauss-Kahn V. (2011). Trade Diversification, Income, and Growth: What Do We Know? FERDI Working Paper P33, November.</w:t>
      </w:r>
    </w:p>
    <w:p>
      <w:pPr>
        <w:spacing w:line="276" w:lineRule="auto" w:after="60"/>
        <w:ind w:hanging="397" w:left="397"/>
      </w:pPr>
      <w:r>
        <w:t>4. Caselli F.; Koren M.; Lisicky M.; Tenreyro S. (2020). Diversification through Trade. Quarterly Journal of Economics 135(1), 449–502. DOI: 10.1093/qje/qjz028. Использованная версия: Caselli F.; Koren M.; Lisicky M.; Tenreyro S. (2019). Diversification through Trade. Author manuscript, June.</w:t>
      </w:r>
    </w:p>
    <w:p>
      <w:pPr>
        <w:spacing w:line="276" w:lineRule="auto" w:after="60"/>
        <w:ind w:hanging="397" w:left="397"/>
      </w:pPr>
      <w:r>
        <w:t>5. Esposito F. (2022). Demand risk and diversification through international trade. Journal of International Economics 135, 103562. DOI: 10.1016/j.jinteco.2021.103562. Использованная версия: Esposito F. (2020). Demand Risk and Diversification through Trade. MPRA Paper 100398, May.</w:t>
      </w:r>
    </w:p>
    <w:p>
      <w:pPr>
        <w:spacing w:line="276" w:lineRule="auto" w:after="60"/>
        <w:ind w:hanging="397" w:left="397"/>
      </w:pPr>
      <w:r>
        <w:t>6. Haramboure A.; Lalanne G.; Schwellnus C.; Guilhoto J. (2023). Vulnerabilities in the semiconductor supply chain. OECD Science, Technology and Industry Working Papers 2023/05. DOI: 10.1787/6bed616f-en.</w:t>
      </w:r>
    </w:p>
    <w:p>
      <w:pPr>
        <w:spacing w:line="276" w:lineRule="auto" w:after="60"/>
        <w:ind w:hanging="397" w:left="397"/>
      </w:pPr>
      <w:r>
        <w:t>7. Hillrichs D.; Wölfl A. (2026). More Chips, Anyone? Demand for Semiconductors in an Era of Active Industrial Policy. EconPol Forum 27(1), 35–42.</w:t>
      </w:r>
    </w:p>
    <w:p>
      <w:pPr>
        <w:spacing w:line="276" w:lineRule="auto" w:after="60"/>
        <w:ind w:hanging="397" w:left="397"/>
      </w:pPr>
      <w:r>
        <w:t>8. Hong M.-S. (2023). Analysis of export changes to major trading partners of the Korean semiconductor industry. The e-Business Studies 24(6), 179–189. DOI: 10.20462/tebs.2023.11.24.6.179.</w:t>
      </w:r>
    </w:p>
    <w:p>
      <w:pPr>
        <w:spacing w:line="276" w:lineRule="auto" w:after="60"/>
        <w:ind w:hanging="397" w:left="397"/>
      </w:pPr>
      <w:r>
        <w:t>9. Hong Q.; Jin Z.; Liu R.; Tong J. (2026). Demand Shocks, Export Diversification, and Firm Performance During the Great Trade Collapse. Journal of Economics &amp; Management Strategy, e70027, 1–18. DOI: 10.1111/jems.70027.</w:t>
      </w:r>
    </w:p>
    <w:p>
      <w:pPr>
        <w:spacing w:line="276" w:lineRule="auto" w:after="60"/>
        <w:ind w:hanging="397" w:left="397"/>
      </w:pPr>
      <w:r>
        <w:t>10. Jo K.; Jung K.-C. (2023). Semiconductor Market Trends and Macroeconomic Implications. KDI Economic Outlook, First Half, 10 May.</w:t>
      </w:r>
    </w:p>
    <w:p>
      <w:pPr>
        <w:spacing w:line="276" w:lineRule="auto" w:after="60"/>
        <w:ind w:hanging="397" w:left="397"/>
      </w:pPr>
      <w:r>
        <w:t>11. Kim C.-Y.; Park K. S. (2018). A Study on Analysis of Export Concentration of Korea: Application of Herfindahl-Hirschman Index, Concentration Ratio, Sharpe Ratio and Value-at-Risk. Korea International Commercial Review 33(3), 273–289.</w:t>
      </w:r>
    </w:p>
    <w:p>
      <w:pPr>
        <w:spacing w:line="276" w:lineRule="auto" w:after="60"/>
        <w:ind w:hanging="397" w:left="397"/>
      </w:pPr>
      <w:r>
        <w:t>12. Kim T.-H.; Lee M.-J. (2025). Assessing Trade Concentration, Dependency, and Resilience in Korea’s Semiconductor Supply Chain: A Network and Entropy-Based Approach. Journal of Korea Trade 29(7), 67–95. DOI: 10.35611/jkt.2025.29.7.67.</w:t>
      </w:r>
    </w:p>
    <w:p>
      <w:pPr>
        <w:spacing w:line="276" w:lineRule="auto" w:after="60"/>
        <w:ind w:hanging="397" w:left="397"/>
      </w:pPr>
      <w:r>
        <w:t>13. Kitetu G. M.; Mbante II A. R.; Ko J.-H. (2021). Revealed Trade Competitiveness between Korea and Japan. Is It Viable to Deepen Economic Integration? Journal of Global Business and Trade 17(2), 67–84. DOI: 10.20294/jgbt.2021.17.2.67.</w:t>
      </w:r>
    </w:p>
    <w:p>
      <w:pPr>
        <w:spacing w:line="276" w:lineRule="auto" w:after="60"/>
        <w:ind w:hanging="397" w:left="397"/>
      </w:pPr>
      <w:r>
        <w:t>14. Koh W. C. (2026). Tariffs, Tech Controls, and Techno-nationalism: Korea’s Semiconductor Industry in an Era of Sanctions and Strategic Competition. AMRO ACR-2026-03, Selected Issue 1.</w:t>
      </w:r>
    </w:p>
    <w:p>
      <w:pPr>
        <w:spacing w:line="276" w:lineRule="auto" w:after="60"/>
        <w:ind w:hanging="397" w:left="397"/>
      </w:pPr>
      <w:r>
        <w:t>15. Koo J. H. (2026). Structural Changes in Korea’s Semiconductor Supply Chain under the Changing Economic Security Environment: An Analysis of Trade Structures, 2015–2025. Public Policy Review 40(2), 319–339. DOI: 10.17327/ippa.2026.40.2.011.</w:t>
      </w:r>
    </w:p>
    <w:p>
      <w:pPr>
        <w:spacing w:line="276" w:lineRule="auto" w:after="60"/>
        <w:ind w:hanging="397" w:left="397"/>
      </w:pPr>
      <w:r>
        <w:t>16. Koren M.; Tenreyro S. (2007). Volatility and Development. Quarterly Journal of Economics 122(1), 243–287. DOI: 10.1162/qjec.122.1.243.</w:t>
      </w:r>
    </w:p>
    <w:p>
      <w:pPr>
        <w:spacing w:line="276" w:lineRule="auto" w:after="60"/>
        <w:ind w:hanging="397" w:left="397"/>
      </w:pPr>
      <w:r>
        <w:t>17. Lee J.; Yu B.-K. (2019). The Effects of Export Diversification on Macroeconomic Stabilization: Evidence from Korea. KDI Journal of Economic Policy 41(1), 1–14. DOI: 10.23895/kdijep.2019.41.1.1.</w:t>
      </w:r>
    </w:p>
    <w:p>
      <w:pPr>
        <w:spacing w:line="276" w:lineRule="auto" w:after="60"/>
        <w:ind w:hanging="397" w:left="397"/>
      </w:pPr>
      <w:r>
        <w:t>18. Li L.; Wang H.; Li Z.; Hu S. (2025). Analysis of the structure and robustness of the global semiconductor trade network. PLOS ONE 20(1), e0313162. DOI: 10.1371/journal.pone.0313162.</w:t>
      </w:r>
    </w:p>
    <w:p>
      <w:pPr>
        <w:spacing w:line="276" w:lineRule="auto" w:after="60"/>
        <w:ind w:hanging="397" w:left="397"/>
      </w:pPr>
      <w:r>
        <w:t>19. Markowitz H. (1952). Portfolio Selection. Journal of Finance 7(1), 77–91. DOI: 10.1111/j.1540-6261.1952.tb01525.x.</w:t>
      </w:r>
    </w:p>
    <w:p>
      <w:pPr>
        <w:spacing w:line="276" w:lineRule="auto" w:after="60"/>
        <w:ind w:hanging="397" w:left="397"/>
      </w:pPr>
      <w:r>
        <w:t>20. OECD (2025). Mapping the semiconductor value chain: Working towards identifying dependencies and vulnerabilities. OECD Science, Technology and Industry Policy Papers 182. DOI: 10.1787/4154cdbf-en.</w:t>
      </w:r>
    </w:p>
    <w:p>
      <w:pPr>
        <w:spacing w:line="276" w:lineRule="auto" w:after="60"/>
        <w:ind w:hanging="397" w:left="397"/>
      </w:pPr>
      <w:r>
        <w:t>21. Shin S.-Y.; Shin S.-H. (2021). Analysis of Korean Import and Export in the Semiconductor Industry: A Global Supply Chain Perspective. Journal of Korea Trade 25(6), 78–104. DOI: 10.35611/jkt.2021.25.6.78.</w:t>
      </w:r>
    </w:p>
    <w:p>
      <w:pPr>
        <w:spacing w:line="276" w:lineRule="auto" w:after="60"/>
        <w:ind w:hanging="397" w:left="397"/>
      </w:pPr>
      <w:r>
        <w:t>22. Shorrocks A. F. (2013). Decomposition procedures for distributional analysis: a unified framework based on the Shapley value. Journal of Economic Inequality 11(1), 99–126. DOI: 10.1007/s10888-011-9214-z. Использованная версия: Shorrocks A. F. (1999). Decomposition Procedures for Distributional Analysis: A Unified Framework Based on the Shapley Value. First draft, June.</w:t>
      </w:r>
    </w:p>
    <w:p>
      <w:pPr>
        <w:spacing w:line="276" w:lineRule="auto" w:after="60"/>
        <w:ind w:hanging="397" w:left="397"/>
      </w:pPr>
      <w:r>
        <w:t>23. Vannoorenberghe G.; Wang Z.; Yu Z. (2016). Volatility and diversification of exports: Firm-level theory and evidence. European Economic Review 89, 216–247. DOI: 10.1016/j.euroecorev.2016.07.002. Использованная версия: Vannoorenberghe G.; Wang Z.; Yu Z. (2014). Volatility and Diversification of Exports: Firm-Level Theory and Evidence. CESifo Working Paper 4916, July.</w:t>
      </w:r>
    </w:p>
    <w:p>
      <w:pPr>
        <w:spacing w:line="276" w:lineRule="auto" w:after="60"/>
        <w:ind w:hanging="397" w:left="397"/>
      </w:pPr>
      <w:r>
        <w:t>24. World Customs Organization (2017). Harmonized System Nomenclature, Chapter 85, heading 85.42.</w:t>
      </w:r>
    </w:p>
    <w:p>
      <w:pPr>
        <w:spacing w:line="276" w:lineRule="auto" w:after="60"/>
        <w:ind w:hanging="397" w:left="397"/>
      </w:pPr>
      <w:r>
        <w:t>25. World Customs Organization (2022). Harmonized System Nomenclature, Chapter 85, heading 85.42.</w:t>
      </w:r>
    </w:p>
    <w:p>
      <w:pPr>
        <w:spacing w:line="276" w:lineRule="auto" w:after="60"/>
        <w:ind w:hanging="397" w:left="397"/>
      </w:pPr>
      <w:r>
        <w:t>26. Yu A.; Yu S. (2026). U.S. Integrated Circuit Exports and Global Value Chain Positioning: Strategic Implications for International Business and Supply Chain Management. Open Journal of Business and Management 14(1), 51–67. DOI: 10.4236/ojbm.2026.141004.</w:t>
      </w:r>
    </w:p>
    <w:sectPr w:rsidR="00FC693F" w:rsidRPr="0006063C" w:rsidSect="00034616">
      <w:footerReference w:type="default" r:id="rId10"/>
      <w:pgSz w:w="11906" w:h="16838"/>
      <w:pgMar w:top="1134" w:right="1134" w:bottom="1134" w:left="141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r>
        <w:t xml:space="preserve">1</w:t>
      </w:r>
    </w:fldSimple>
  </w:p>
</w:ftr>
</file>

<file path=word/footnotes.xml><?xml version="1.0" encoding="utf-8"?>
<w:footnotes xmlns:w="http://schemas.openxmlformats.org/wordprocessingml/2006/main">
  <w:footnote w:type="separator" w:id="-1">
    <w:p>
      <w:r>
        <w:separator/>
      </w:r>
    </w:p>
  </w:footnote>
  <w:footnote w:type="continuationSeparator" w:id="0">
    <w:p>
      <w:r>
        <w:continuationSeparator/>
      </w:r>
    </w:p>
  </w:footnote>
  <w:footnote w:id="1">
    <w:p>
      <w:pPr>
        <w:pStyle w:val="FootnoteText"/>
      </w:pPr>
      <w:r>
        <w:rPr>
          <w:rStyle w:val="FootnoteReference"/>
        </w:rPr>
        <w:footnoteRef/>
      </w:r>
      <w:r>
        <w:t xml:space="preserve"> OECD (2025). Mapping the semiconductor value chain: Working towards identifying dependencies and vulnerabilities. OECD Science, Technology and Industry Policy Papers 182. С. 9–10.</w:t>
      </w:r>
    </w:p>
  </w:footnote>
  <w:footnote w:id="2">
    <w:p>
      <w:pPr>
        <w:pStyle w:val="FootnoteText"/>
      </w:pPr>
      <w:r>
        <w:rPr>
          <w:rStyle w:val="FootnoteReference"/>
        </w:rPr>
        <w:footnoteRef/>
      </w:r>
      <w:r>
        <w:t xml:space="preserve"> Jo K.; Jung K.-C. (2023). Semiconductor Market Trends and Macroeconomic Implications. KDI Economic Outlook, First Half, 10 May. С. 6–7.</w:t>
      </w:r>
    </w:p>
  </w:footnote>
  <w:footnote w:id="3">
    <w:p>
      <w:pPr>
        <w:pStyle w:val="FootnoteText"/>
      </w:pPr>
      <w:r>
        <w:rPr>
          <w:rStyle w:val="FootnoteReference"/>
        </w:rPr>
        <w:footnoteRef/>
      </w:r>
      <w:r>
        <w:t xml:space="preserve"> OECD (2025). Mapping the semiconductor value chain: Working towards identifying dependencies and vulnerabilities. OECD Science, Technology and Industry Policy Papers 182. С. 10–12.</w:t>
      </w:r>
    </w:p>
  </w:footnote>
  <w:footnote w:id="4">
    <w:p>
      <w:pPr>
        <w:pStyle w:val="FootnoteText"/>
      </w:pPr>
      <w:r>
        <w:rPr>
          <w:rStyle w:val="FootnoteReference"/>
        </w:rPr>
        <w:footnoteRef/>
      </w:r>
      <w:r>
        <w:t xml:space="preserve"> Haramboure A.; Lalanne G.; Schwellnus C.; Guilhoto J. (2023). Vulnerabilities in the semiconductor supply chain. OECD Science, Technology and Industry Working Papers 2023/05. С. 3–5.</w:t>
      </w:r>
    </w:p>
  </w:footnote>
  <w:footnote w:id="5">
    <w:p>
      <w:pPr>
        <w:pStyle w:val="FootnoteText"/>
      </w:pPr>
      <w:r>
        <w:rPr>
          <w:rStyle w:val="FootnoteReference"/>
        </w:rPr>
        <w:footnoteRef/>
      </w:r>
      <w:r>
        <w:t xml:space="preserve"> Haramboure A.; Lalanne G.; Schwellnus C.; Guilhoto J. (2023). Vulnerabilities in the semiconductor supply chain. OECD Science, Technology and Industry Working Papers 2023/05. С. 5, 10–12.</w:t>
      </w:r>
    </w:p>
  </w:footnote>
  <w:footnote w:id="6">
    <w:p>
      <w:pPr>
        <w:pStyle w:val="FootnoteText"/>
      </w:pPr>
      <w:r>
        <w:rPr>
          <w:rStyle w:val="FootnoteReference"/>
        </w:rPr>
        <w:footnoteRef/>
      </w:r>
      <w:r>
        <w:t xml:space="preserve"> World Customs Organization (2017). Harmonized System Nomenclature, Chapter 85, heading 85.42. Позиция 85.42.</w:t>
      </w:r>
    </w:p>
  </w:footnote>
  <w:footnote w:id="7">
    <w:p>
      <w:pPr>
        <w:pStyle w:val="FootnoteText"/>
      </w:pPr>
      <w:r>
        <w:rPr>
          <w:rStyle w:val="FootnoteReference"/>
        </w:rPr>
        <w:footnoteRef/>
      </w:r>
      <w:r>
        <w:t xml:space="preserve"> World Customs Organization (2022). Harmonized System Nomenclature, Chapter 85, heading 85.42. Позиция 85.42.</w:t>
      </w:r>
    </w:p>
  </w:footnote>
  <w:footnote w:id="8">
    <w:p>
      <w:pPr>
        <w:pStyle w:val="FootnoteText"/>
      </w:pPr>
      <w:r>
        <w:rPr>
          <w:rStyle w:val="FootnoteReference"/>
        </w:rPr>
        <w:footnoteRef/>
      </w:r>
      <w:r>
        <w:t xml:space="preserve"> Jo K.; Jung K.-C. (2023). Semiconductor Market Trends and Macroeconomic Implications. KDI Economic Outlook, First Half, 10 May. С. 1–3, 9.</w:t>
      </w:r>
    </w:p>
  </w:footnote>
  <w:footnote w:id="9">
    <w:p>
      <w:pPr>
        <w:pStyle w:val="FootnoteText"/>
      </w:pPr>
      <w:r>
        <w:rPr>
          <w:rStyle w:val="FootnoteReference"/>
        </w:rPr>
        <w:footnoteRef/>
      </w:r>
      <w:r>
        <w:t xml:space="preserve"> Jo K.; Jung K.-C. (2023). Semiconductor Market Trends and Macroeconomic Implications. KDI Economic Outlook, First Half, 10 May. С. 4.</w:t>
      </w:r>
    </w:p>
  </w:footnote>
  <w:footnote w:id="10">
    <w:p>
      <w:pPr>
        <w:pStyle w:val="FootnoteText"/>
      </w:pPr>
      <w:r>
        <w:rPr>
          <w:rStyle w:val="FootnoteReference"/>
        </w:rPr>
        <w:footnoteRef/>
      </w:r>
      <w:r>
        <w:t xml:space="preserve"> Hillrichs D.; Wölfl A. (2026). More Chips, Anyone? Demand for Semiconductors in an Era of Active Industrial Policy. EconPol Forum 27(1), 35–42. С. 35–42.</w:t>
      </w:r>
    </w:p>
  </w:footnote>
  <w:footnote w:id="11">
    <w:p>
      <w:pPr>
        <w:pStyle w:val="FootnoteText"/>
      </w:pPr>
      <w:r>
        <w:rPr>
          <w:rStyle w:val="FootnoteReference"/>
        </w:rPr>
        <w:footnoteRef/>
      </w:r>
      <w:r>
        <w:t xml:space="preserve"> Jo K.; Jung K.-C. (2023). Semiconductor Market Trends and Macroeconomic Implications. KDI Economic Outlook, First Half, 10 May. С. 1, 7–8.</w:t>
      </w:r>
    </w:p>
  </w:footnote>
  <w:footnote w:id="12">
    <w:p>
      <w:pPr>
        <w:pStyle w:val="FootnoteText"/>
      </w:pPr>
      <w:r>
        <w:rPr>
          <w:rStyle w:val="FootnoteReference"/>
        </w:rPr>
        <w:footnoteRef/>
      </w:r>
      <w:r>
        <w:t xml:space="preserve"> Jo K.; Jung K.-C. (2023). Semiconductor Market Trends and Macroeconomic Implications. KDI Economic Outlook, First Half, 10 May. С. 6–7.</w:t>
      </w:r>
    </w:p>
  </w:footnote>
  <w:footnote w:id="13">
    <w:p>
      <w:pPr>
        <w:pStyle w:val="FootnoteText"/>
      </w:pPr>
      <w:r>
        <w:rPr>
          <w:rStyle w:val="FootnoteReference"/>
        </w:rPr>
        <w:footnoteRef/>
      </w:r>
      <w:r>
        <w:t xml:space="preserve"> Bank of Korea (2023). Characteristics of Demand Structure for Korea’s Semiconductors and Implications. Korea Economic Outlook, May, 53–62; English release 31 July. С. 53–62.</w:t>
      </w:r>
    </w:p>
  </w:footnote>
  <w:footnote w:id="14">
    <w:p>
      <w:pPr>
        <w:pStyle w:val="FootnoteText"/>
      </w:pPr>
      <w:r>
        <w:rPr>
          <w:rStyle w:val="FootnoteReference"/>
        </w:rPr>
        <w:footnoteRef/>
      </w:r>
      <w:r>
        <w:t xml:space="preserve"> Bank of Korea (2023). Characteristics of Demand Structure for Korea’s Semiconductors and Implications. Korea Economic Outlook, May, 53–62; English release 31 July. С. 53–62.</w:t>
      </w:r>
    </w:p>
  </w:footnote>
  <w:footnote w:id="15">
    <w:p>
      <w:pPr>
        <w:pStyle w:val="FootnoteText"/>
      </w:pPr>
      <w:r>
        <w:rPr>
          <w:rStyle w:val="FootnoteReference"/>
        </w:rPr>
        <w:footnoteRef/>
      </w:r>
      <w:r>
        <w:t xml:space="preserve"> Bank of Korea (2023). Characteristics of Demand Structure for Korea’s Semiconductors and Implications. Korea Economic Outlook, May, 53–62; English release 31 July. С. 54, 61–62.</w:t>
      </w:r>
    </w:p>
  </w:footnote>
  <w:footnote w:id="16">
    <w:p>
      <w:pPr>
        <w:pStyle w:val="FootnoteText"/>
      </w:pPr>
      <w:r>
        <w:rPr>
          <w:rStyle w:val="FootnoteReference"/>
        </w:rPr>
        <w:footnoteRef/>
      </w:r>
      <w:r>
        <w:t xml:space="preserve"> Koh W. C. (2026). Tariffs, Tech Controls, and Techno-nationalism: Korea’s Semiconductor Industry in an Era of Sanctions and Strategic Competition. AMRO ACR-2026-03, Selected Issue 1. С. 1–6.</w:t>
      </w:r>
    </w:p>
  </w:footnote>
  <w:footnote w:id="17">
    <w:p>
      <w:pPr>
        <w:pStyle w:val="FootnoteText"/>
      </w:pPr>
      <w:r>
        <w:rPr>
          <w:rStyle w:val="FootnoteReference"/>
        </w:rPr>
        <w:footnoteRef/>
      </w:r>
      <w:r>
        <w:t xml:space="preserve"> Koh W. C. (2026). Tariffs, Tech Controls, and Techno-nationalism: Korea’s Semiconductor Industry in an Era of Sanctions and Strategic Competition. AMRO ACR-2026-03, Selected Issue 1. С. 1–6.</w:t>
      </w:r>
    </w:p>
  </w:footnote>
  <w:footnote w:id="18">
    <w:p>
      <w:pPr>
        <w:pStyle w:val="FootnoteText"/>
      </w:pPr>
      <w:r>
        <w:rPr>
          <w:rStyle w:val="FootnoteReference"/>
        </w:rPr>
        <w:footnoteRef/>
      </w:r>
      <w:r>
        <w:t xml:space="preserve"> Li L.; Wang H.; Li Z.; Hu S. (2025). Analysis of the structure and robustness of the global semiconductor trade network. PLOS ONE 20(1), e0313162. Разделы о методах и устойчивости сети.</w:t>
      </w:r>
    </w:p>
  </w:footnote>
  <w:footnote w:id="19">
    <w:p>
      <w:pPr>
        <w:pStyle w:val="FootnoteText"/>
      </w:pPr>
      <w:r>
        <w:rPr>
          <w:rStyle w:val="FootnoteReference"/>
        </w:rPr>
        <w:footnoteRef/>
      </w:r>
      <w:r>
        <w:t xml:space="preserve"> Cadot O.; Carrère C.; Strauss-Kahn V. (2011). Trade Diversification, Income, and Growth: What Do We Know? FERDI Working Paper P33, November. Раздел 2, с. 2–5.</w:t>
      </w:r>
    </w:p>
  </w:footnote>
  <w:footnote w:id="20">
    <w:p>
      <w:pPr>
        <w:pStyle w:val="FootnoteText"/>
      </w:pPr>
      <w:r>
        <w:rPr>
          <w:rStyle w:val="FootnoteReference"/>
        </w:rPr>
        <w:footnoteRef/>
      </w:r>
      <w:r>
        <w:t xml:space="preserve"> Markowitz H. (1952). Portfolio Selection. Journal of Finance 7(1), 77–91. С. 79–81.</w:t>
      </w:r>
    </w:p>
  </w:footnote>
  <w:footnote w:id="21">
    <w:p>
      <w:pPr>
        <w:pStyle w:val="FootnoteText"/>
      </w:pPr>
      <w:r>
        <w:rPr>
          <w:rStyle w:val="FootnoteReference"/>
        </w:rPr>
        <w:footnoteRef/>
      </w:r>
      <w:r>
        <w:t xml:space="preserve"> Koren M.; Tenreyro S. (2007). Volatility and Development. Quarterly Journal of Economics 122(1), 243–287. С. 243–244.</w:t>
      </w:r>
    </w:p>
  </w:footnote>
  <w:footnote w:id="22">
    <w:p>
      <w:pPr>
        <w:pStyle w:val="FootnoteText"/>
      </w:pPr>
      <w:r>
        <w:rPr>
          <w:rStyle w:val="FootnoteReference"/>
        </w:rPr>
        <w:footnoteRef/>
      </w:r>
      <w:r>
        <w:t xml:space="preserve"> Caselli F.; Koren M.; Lisicky M.; Tenreyro S. (2019). Diversification through Trade. Author manuscript, June. Авторская версия, июнь 2019 года, с. 2–3.</w:t>
      </w:r>
    </w:p>
  </w:footnote>
  <w:footnote w:id="23">
    <w:p>
      <w:pPr>
        <w:pStyle w:val="FootnoteText"/>
      </w:pPr>
      <w:r>
        <w:rPr>
          <w:rStyle w:val="FootnoteReference"/>
        </w:rPr>
        <w:footnoteRef/>
      </w:r>
      <w:r>
        <w:t xml:space="preserve"> Vannoorenberghe G.; Wang Z.; Yu Z. (2014). Volatility and Diversification of Exports: Firm-Level Theory and Evidence. CESifo Working Paper 4916, July. Аннотация и введение рабочей версии, с. 1–3.</w:t>
      </w:r>
    </w:p>
  </w:footnote>
  <w:footnote w:id="24">
    <w:p>
      <w:pPr>
        <w:pStyle w:val="FootnoteText"/>
      </w:pPr>
      <w:r>
        <w:rPr>
          <w:rStyle w:val="FootnoteReference"/>
        </w:rPr>
        <w:footnoteRef/>
      </w:r>
      <w:r>
        <w:t xml:space="preserve"> Esposito F. (2020). Demand Risk and Diversification through Trade. MPRA Paper 100398, May. С. 1–3 рабочей версии.</w:t>
      </w:r>
    </w:p>
  </w:footnote>
  <w:footnote w:id="25">
    <w:p>
      <w:pPr>
        <w:pStyle w:val="FootnoteText"/>
      </w:pPr>
      <w:r>
        <w:rPr>
          <w:rStyle w:val="FootnoteReference"/>
        </w:rPr>
        <w:footnoteRef/>
      </w:r>
      <w:r>
        <w:t xml:space="preserve"> Lee J.; Yu B.-K. (2019). The Effects of Export Diversification on Macroeconomic Stabilization: Evidence from Korea. KDI Journal of Economic Policy 41(1), 1–14. С. 5–11.</w:t>
      </w:r>
    </w:p>
  </w:footnote>
  <w:footnote w:id="26">
    <w:p>
      <w:pPr>
        <w:pStyle w:val="FootnoteText"/>
      </w:pPr>
      <w:r>
        <w:rPr>
          <w:rStyle w:val="FootnoteReference"/>
        </w:rPr>
        <w:footnoteRef/>
      </w:r>
      <w:r>
        <w:t xml:space="preserve"> Hong Q.; Jin Z.; Liu R.; Tong J. (2026). Demand Shocks, Export Diversification, and Firm Performance During the Great Trade Collapse. Journal of Economics &amp; Management Strategy, e70027, 1–18. Разделы 2–4 и 7 опубликованной электронной версии.</w:t>
      </w:r>
    </w:p>
  </w:footnote>
  <w:footnote w:id="27">
    <w:p>
      <w:pPr>
        <w:pStyle w:val="FootnoteText"/>
      </w:pPr>
      <w:r>
        <w:rPr>
          <w:rStyle w:val="FootnoteReference"/>
        </w:rPr>
        <w:footnoteRef/>
      </w:r>
      <w:r>
        <w:t xml:space="preserve"> Esposito F. (2020). Demand Risk and Diversification through Trade. MPRA Paper 100398, May. С. 1–3 рабочей версии.</w:t>
      </w:r>
    </w:p>
  </w:footnote>
  <w:footnote w:id="28">
    <w:p>
      <w:pPr>
        <w:pStyle w:val="FootnoteText"/>
      </w:pPr>
      <w:r>
        <w:rPr>
          <w:rStyle w:val="FootnoteReference"/>
        </w:rPr>
        <w:footnoteRef/>
      </w:r>
      <w:r>
        <w:t xml:space="preserve"> Barigozzi M.; Cuzzola A.; Grazzi M.; Moschella D. (2025; online 2024). Factoring in the Micro: A Transaction-Level Dynamic Factor Approach to the Decomposition of Export Volatility. Oxford Bulletin of Economics and Statistics 87(1), 155–184. Разделы 2–5 опубликованной электронной версии.</w:t>
      </w:r>
    </w:p>
  </w:footnote>
  <w:footnote w:id="29">
    <w:p>
      <w:pPr>
        <w:pStyle w:val="FootnoteText"/>
      </w:pPr>
      <w:r>
        <w:rPr>
          <w:rStyle w:val="FootnoteReference"/>
        </w:rPr>
        <w:footnoteRef/>
      </w:r>
      <w:r>
        <w:t xml:space="preserve"> Shin S.-Y.; Shin S.-H. (2021). Analysis of Korean Import and Export in the Semiconductor Industry: A Global Supply Chain Perspective. Journal of Korea Trade 25(6), 78–104. С. 78–79, 97–98.</w:t>
      </w:r>
    </w:p>
  </w:footnote>
  <w:footnote w:id="30">
    <w:p>
      <w:pPr>
        <w:pStyle w:val="FootnoteText"/>
      </w:pPr>
      <w:r>
        <w:rPr>
          <w:rStyle w:val="FootnoteReference"/>
        </w:rPr>
        <w:footnoteRef/>
      </w:r>
      <w:r>
        <w:t xml:space="preserve"> Koo J. H. (2026). Structural Changes in Korea’s Semiconductor Supply Chain under the Changing Economic Security Environment: An Analysis of Trade Structures, 2015–2025. Public Policy Review 40(2), 319–339. С. 324–325, 335–336.</w:t>
      </w:r>
    </w:p>
  </w:footnote>
  <w:footnote w:id="31">
    <w:p>
      <w:pPr>
        <w:pStyle w:val="FootnoteText"/>
      </w:pPr>
      <w:r>
        <w:rPr>
          <w:rStyle w:val="FootnoteReference"/>
        </w:rPr>
        <w:footnoteRef/>
      </w:r>
      <w:r>
        <w:t xml:space="preserve"> Kitetu G. M.; Mbante II A. R.; Ko J.-H. (2021). Revealed Trade Competitiveness between Korea and Japan. Is It Viable to Deepen Economic Integration? Journal of Global Business and Trade 17(2), 67–84. Раздел IV, с. 72–74; таблица 1, с. 75; авторская копия опубликованной статьи.</w:t>
      </w:r>
    </w:p>
  </w:footnote>
  <w:footnote w:id="32">
    <w:p>
      <w:pPr>
        <w:pStyle w:val="FootnoteText"/>
      </w:pPr>
      <w:r>
        <w:rPr>
          <w:rStyle w:val="FootnoteReference"/>
        </w:rPr>
        <w:footnoteRef/>
      </w:r>
      <w:r>
        <w:t xml:space="preserve"> Yu A.; Yu S. (2026). U.S. Integrated Circuit Exports and Global Value Chain Positioning: Strategic Implications for International Business and Supply Chain Management. Open Journal of Business and Management 14(1), 51–67. Раздел 3, с. 54–57.</w:t>
      </w:r>
    </w:p>
  </w:footnote>
  <w:footnote w:id="33">
    <w:p>
      <w:pPr>
        <w:pStyle w:val="FootnoteText"/>
      </w:pPr>
      <w:r>
        <w:rPr>
          <w:rStyle w:val="FootnoteReference"/>
        </w:rPr>
        <w:footnoteRef/>
      </w:r>
      <w:r>
        <w:t xml:space="preserve"> Hong M.-S. (2023). Analysis of export changes to major trading partners of the Korean semiconductor industry. The e-Business Studies 24(6), 179–189. Аннотация в KCI; полный текст не получен.</w:t>
      </w:r>
    </w:p>
  </w:footnote>
  <w:footnote w:id="34">
    <w:p>
      <w:pPr>
        <w:pStyle w:val="FootnoteText"/>
      </w:pPr>
      <w:r>
        <w:rPr>
          <w:rStyle w:val="FootnoteReference"/>
        </w:rPr>
        <w:footnoteRef/>
      </w:r>
      <w:r>
        <w:t xml:space="preserve"> Kim T.-H.; Lee M.-J. (2025). Assessing Trade Concentration, Dependency, and Resilience in Korea’s Semiconductor Supply Chain: A Network and Entropy-Based Approach. Journal of Korea Trade 29(7), 67–95. Аннотация в KCI; полный текст не получен.</w:t>
      </w:r>
    </w:p>
  </w:footnote>
  <w:footnote w:id="35">
    <w:p>
      <w:pPr>
        <w:pStyle w:val="FootnoteText"/>
      </w:pPr>
      <w:r>
        <w:rPr>
          <w:rStyle w:val="FootnoteReference"/>
        </w:rPr>
        <w:footnoteRef/>
      </w:r>
      <w:r>
        <w:t xml:space="preserve"> Kim C.-Y.; Park K. S. (2018). A Study on Analysis of Export Concentration of Korea: Application of Herfindahl-Hirschman Index, Concentration Ratio, Sharpe Ratio and Value-at-Risk. Korea International Commercial Review 33(3), 273–289. Аннотация в KCI; полный текст не получен.</w:t>
      </w:r>
    </w:p>
  </w:footnote>
  <w:footnote w:id="36">
    <w:p>
      <w:pPr>
        <w:pStyle w:val="FootnoteText"/>
      </w:pPr>
      <w:r>
        <w:rPr>
          <w:rStyle w:val="FootnoteReference"/>
        </w:rPr>
        <w:footnoteRef/>
      </w:r>
      <w:r>
        <w:t xml:space="preserve"> Jo K.; Jung K.-C. (2023). Semiconductor Market Trends and Macroeconomic Implications. KDI Economic Outlook, First Half, 10 May. С. 3.</w:t>
      </w:r>
    </w:p>
  </w:footnote>
  <w:footnote w:id="37">
    <w:p>
      <w:pPr>
        <w:pStyle w:val="FootnoteText"/>
      </w:pPr>
      <w:r>
        <w:rPr>
          <w:rStyle w:val="FootnoteReference"/>
        </w:rPr>
        <w:footnoteRef/>
      </w:r>
      <w:r>
        <w:t xml:space="preserve"> Bank of Korea (2023). Characteristics of Demand Structure for Korea’s Semiconductors and Implications. Korea Economic Outlook, May, 53–62; English release 31 July. С. 61–62.</w:t>
      </w:r>
    </w:p>
  </w:footnote>
  <w:footnote w:id="38">
    <w:p>
      <w:pPr>
        <w:pStyle w:val="FootnoteText"/>
      </w:pPr>
      <w:r>
        <w:rPr>
          <w:rStyle w:val="FootnoteReference"/>
        </w:rPr>
        <w:footnoteRef/>
      </w:r>
      <w:r>
        <w:t xml:space="preserve"> Shorrocks A. F. (1999). Decomposition Procedures for Distributional Analysis: A Unified Framework Based on the Shapley Value. First draft, June. Раздел 2, с. 4–6 авторской версии.</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before="0" w:after="0"/>
      <w:ind w:firstLine="709"/>
      <w:jc w:val="both"/>
    </w:pPr>
    <w:rPr>
      <w:rFonts w:ascii="Times New Roman" w:hAnsi="Times New Roman" w:eastAsia="Times New Roman" w:cs="Times New Roman"/>
      <w:b w:val="0"/>
      <w:color w:val="000000"/>
      <w:sz w:val="24"/>
      <w:lang w:val="ru-RU"/>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b w:val="0"/>
      <w:color w:val="000000"/>
      <w:sz w:val="24"/>
      <w:szCs w:val="24"/>
    </w:rPr>
  </w:style>
  <w:style w:type="character" w:customStyle="1" w:styleId="HeaderChar">
    <w:name w:val="Header Char"/>
    <w:basedOn w:val="DefaultParagraphFont"/>
    <w:link w:val="Header"/>
    <w:uiPriority w:val="99"/>
    <w:rsid w:val="00E618BF"/>
    <w:rPr>
      <w:rFonts w:ascii="Times New Roman" w:hAnsi="Times New Roman" w:eastAsia="Times New Roman" w:cs="Times New Roman"/>
      <w:b w:val="0"/>
      <w:color w:val="000000"/>
      <w:sz w:val="24"/>
      <w:szCs w:val="24"/>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b w:val="0"/>
      <w:color w:val="000000"/>
      <w:sz w:val="24"/>
      <w:szCs w:val="24"/>
    </w:rPr>
  </w:style>
  <w:style w:type="character" w:customStyle="1" w:styleId="FooterChar">
    <w:name w:val="Footer Char"/>
    <w:basedOn w:val="DefaultParagraphFont"/>
    <w:link w:val="Footer"/>
    <w:uiPriority w:val="99"/>
    <w:rsid w:val="00E618BF"/>
    <w:rPr>
      <w:rFonts w:ascii="Times New Roman" w:hAnsi="Times New Roman" w:eastAsia="Times New Roman" w:cs="Times New Roman"/>
      <w:b w:val="0"/>
      <w:color w:val="000000"/>
      <w:sz w:val="24"/>
      <w:szCs w:val="24"/>
    </w:rPr>
  </w:style>
  <w:style w:type="paragraph" w:styleId="Heading1">
    <w:name w:val="heading 1"/>
    <w:basedOn w:val="Normal"/>
    <w:next w:val="Normal"/>
    <w:link w:val="Heading1Char"/>
    <w:uiPriority w:val="9"/>
    <w:qFormat/>
    <w:rsid w:val="00FC693F"/>
    <w:pPr>
      <w:keepNext/>
      <w:keepLines/>
      <w:spacing w:before="280" w:after="240" w:line="312" w:lineRule="auto"/>
      <w:ind w:firstLine="0"/>
      <w:jc w:val="left"/>
      <w:outlineLvl w:val="0"/>
    </w:pPr>
    <w:rPr>
      <w:rFonts w:ascii="Times New Roman" w:hAnsi="Times New Roman" w:eastAsia="Times New Roman" w:cs="Times New Roman"/>
      <w:b/>
      <w:bCs/>
      <w:color w:val="000000"/>
      <w:sz w:val="26"/>
      <w:szCs w:val="26"/>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val="0"/>
      <w:bCs/>
      <w:color w:val="000000"/>
      <w:sz w:val="24"/>
      <w:szCs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val="0"/>
      <w:bCs/>
      <w:color w:val="000000"/>
      <w:sz w:val="24"/>
      <w:szCs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val="0"/>
      <w:bCs/>
      <w:i/>
      <w:iCs/>
      <w:color w:val="000000"/>
      <w:sz w:val="24"/>
      <w:szCs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b w:val="0"/>
      <w:color w:val="000000"/>
      <w:sz w:val="24"/>
      <w:szCs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b w:val="0"/>
      <w:i/>
      <w:iCs/>
      <w:color w:val="000000"/>
      <w:sz w:val="24"/>
      <w:szCs w:val="24"/>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b w:val="0"/>
      <w:i/>
      <w:iCs/>
      <w:color w:val="000000"/>
      <w:sz w:val="24"/>
      <w:szCs w:val="24"/>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b w:val="0"/>
      <w:color w:val="000000"/>
      <w:sz w:val="24"/>
      <w:szCs w:val="24"/>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b w:val="0"/>
      <w:i/>
      <w:iCs/>
      <w:color w:val="000000"/>
      <w:sz w:val="24"/>
      <w:szCs w:val="24"/>
    </w:rPr>
  </w:style>
  <w:style w:type="character" w:default="1" w:styleId="DefaultParagraphFont">
    <w:name w:val="Default Paragraph Font"/>
    <w:uiPriority w:val="1"/>
    <w:semiHidden/>
    <w:unhideWhenUsed/>
    <w:rPr>
      <w:rFonts w:ascii="Times New Roman" w:hAnsi="Times New Roman" w:eastAsia="Times New Roman" w:cs="Times New Roman"/>
      <w:b w:val="0"/>
      <w:color w:val="000000"/>
      <w:sz w:val="24"/>
      <w:szCs w:val="24"/>
    </w:rPr>
  </w:style>
  <w:style w:type="table" w:default="1" w:styleId="TableNormal">
    <w:name w:val="Normal Table"/>
    <w:uiPriority w:val="99"/>
    <w:semiHidden/>
    <w:unhideWhenUsed/>
    <w:rPr>
      <w:rFonts w:ascii="Times New Roman" w:hAnsi="Times New Roman" w:eastAsia="Times New Roman" w:cs="Times New Roman"/>
      <w:b w:val="0"/>
      <w:color w:val="000000"/>
      <w:sz w:val="24"/>
      <w:szCs w:val="24"/>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cs="Times New Roman"/>
      <w:b w:val="0"/>
      <w:color w:val="000000"/>
      <w:sz w:val="24"/>
      <w:szCs w:val="24"/>
    </w:r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val="0"/>
      <w:bCs/>
      <w:color w:val="000000"/>
      <w:sz w:val="24"/>
      <w:szCs w:val="24"/>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val="0"/>
      <w:bCs/>
      <w:color w:val="000000"/>
      <w:sz w:val="24"/>
      <w:szCs w:val="24"/>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val="0"/>
      <w:bCs/>
      <w:color w:val="000000"/>
      <w:sz w:val="24"/>
      <w:szCs w:val="24"/>
    </w:rPr>
  </w:style>
  <w:style w:type="paragraph" w:styleId="Title">
    <w:name w:val="Title"/>
    <w:basedOn w:val="Normal"/>
    <w:next w:val="Normal"/>
    <w:link w:val="TitleChar"/>
    <w:uiPriority w:val="10"/>
    <w:qFormat/>
    <w:rsid w:val="00FC693F"/>
    <w:pPr>
      <w:keepNext/>
      <w:spacing w:after="240" w:line="312" w:lineRule="auto" w:before="0"/>
      <w:ind w:firstLine="0"/>
      <w:contextualSpacing/>
      <w:jc w:val="center"/>
    </w:pPr>
    <w:rPr>
      <w:rFonts w:ascii="Times New Roman" w:hAnsi="Times New Roman" w:eastAsia="Times New Roman" w:cs="Times New Roman"/>
      <w:b/>
      <w:color w:val="000000"/>
      <w:sz w:val="28"/>
      <w:szCs w:val="28"/>
    </w:rPr>
  </w:style>
  <w:style w:type="character" w:customStyle="1" w:styleId="TitleChar">
    <w:name w:val="Title Char"/>
    <w:basedOn w:val="DefaultParagraphFont"/>
    <w:link w:val="Title"/>
    <w:uiPriority w:val="10"/>
    <w:rsid w:val="00FC693F"/>
    <w:rPr>
      <w:rFonts w:ascii="Times New Roman" w:hAnsi="Times New Roman" w:eastAsia="Times New Roman" w:cs="Times New Roman"/>
      <w:b w:val="0"/>
      <w:color w:val="000000"/>
      <w:sz w:val="24"/>
      <w:szCs w:val="24"/>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b w:val="0"/>
      <w:i/>
      <w:iCs/>
      <w:color w:val="000000"/>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b w:val="0"/>
      <w:i/>
      <w:iCs/>
      <w:color w:val="000000"/>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cs="Times New Roman"/>
      <w:b w:val="0"/>
      <w:color w:val="000000"/>
      <w:sz w:val="24"/>
      <w:szCs w:val="24"/>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b w:val="0"/>
      <w:color w:val="000000"/>
      <w:sz w:val="24"/>
      <w:szCs w:val="24"/>
    </w:rPr>
  </w:style>
  <w:style w:type="character" w:customStyle="1" w:styleId="BodyTextChar">
    <w:name w:val="Body Text Char"/>
    <w:basedOn w:val="DefaultParagraphFont"/>
    <w:link w:val="BodyText"/>
    <w:uiPriority w:val="99"/>
    <w:rsid w:val="00AA1D8D"/>
    <w:rPr>
      <w:rFonts w:ascii="Times New Roman" w:hAnsi="Times New Roman" w:eastAsia="Times New Roman" w:cs="Times New Roman"/>
      <w:b w:val="0"/>
      <w:color w:val="000000"/>
      <w:sz w:val="24"/>
      <w:szCs w:val="24"/>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cs="Times New Roman"/>
      <w:b w:val="0"/>
      <w:color w:val="000000"/>
      <w:sz w:val="24"/>
      <w:szCs w:val="24"/>
    </w:rPr>
  </w:style>
  <w:style w:type="character" w:customStyle="1" w:styleId="BodyText2Char">
    <w:name w:val="Body Text 2 Char"/>
    <w:basedOn w:val="DefaultParagraphFont"/>
    <w:link w:val="BodyText2"/>
    <w:uiPriority w:val="99"/>
    <w:rsid w:val="00AA1D8D"/>
    <w:rPr>
      <w:rFonts w:ascii="Times New Roman" w:hAnsi="Times New Roman" w:eastAsia="Times New Roman" w:cs="Times New Roman"/>
      <w:b w:val="0"/>
      <w:color w:val="000000"/>
      <w:sz w:val="24"/>
      <w:szCs w:val="24"/>
    </w:rPr>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s="Times New Roman"/>
      <w:b w:val="0"/>
      <w:color w:val="000000"/>
      <w:sz w:val="24"/>
      <w:szCs w:val="24"/>
    </w:rPr>
  </w:style>
  <w:style w:type="character" w:customStyle="1" w:styleId="BodyText3Char">
    <w:name w:val="Body Text 3 Char"/>
    <w:basedOn w:val="DefaultParagraphFont"/>
    <w:link w:val="BodyText3"/>
    <w:uiPriority w:val="99"/>
    <w:rsid w:val="00AA1D8D"/>
    <w:rPr>
      <w:rFonts w:ascii="Times New Roman" w:hAnsi="Times New Roman" w:eastAsia="Times New Roman" w:cs="Times New Roman"/>
      <w:b w:val="0"/>
      <w:color w:val="000000"/>
      <w:sz w:val="24"/>
      <w:szCs w:val="24"/>
    </w:rPr>
  </w:style>
  <w:style w:type="paragraph" w:styleId="List">
    <w:name w:val="List"/>
    <w:basedOn w:val="Normal"/>
    <w:uiPriority w:val="99"/>
    <w:unhideWhenUsed/>
    <w:rsid w:val="00AA1D8D"/>
    <w:pPr>
      <w:ind w:left="360" w:hanging="360"/>
      <w:contextualSpacing/>
    </w:pPr>
    <w:rPr>
      <w:rFonts w:ascii="Times New Roman" w:hAnsi="Times New Roman" w:eastAsia="Times New Roman" w:cs="Times New Roman"/>
      <w:b w:val="0"/>
      <w:color w:val="000000"/>
      <w:sz w:val="24"/>
      <w:szCs w:val="24"/>
    </w:rPr>
  </w:style>
  <w:style w:type="paragraph" w:styleId="List2">
    <w:name w:val="List 2"/>
    <w:basedOn w:val="Normal"/>
    <w:uiPriority w:val="99"/>
    <w:unhideWhenUsed/>
    <w:rsid w:val="00326F90"/>
    <w:pPr>
      <w:ind w:left="720" w:hanging="360"/>
      <w:contextualSpacing/>
    </w:pPr>
    <w:rPr>
      <w:rFonts w:ascii="Times New Roman" w:hAnsi="Times New Roman" w:eastAsia="Times New Roman" w:cs="Times New Roman"/>
      <w:b w:val="0"/>
      <w:color w:val="000000"/>
      <w:sz w:val="24"/>
      <w:szCs w:val="24"/>
    </w:rPr>
  </w:style>
  <w:style w:type="paragraph" w:styleId="List3">
    <w:name w:val="List 3"/>
    <w:basedOn w:val="Normal"/>
    <w:uiPriority w:val="99"/>
    <w:unhideWhenUsed/>
    <w:rsid w:val="00326F90"/>
    <w:pPr>
      <w:ind w:left="1080" w:hanging="360"/>
      <w:contextualSpacing/>
    </w:pPr>
    <w:rPr>
      <w:rFonts w:ascii="Times New Roman" w:hAnsi="Times New Roman" w:eastAsia="Times New Roman" w:cs="Times New Roman"/>
      <w:b w:val="0"/>
      <w:color w:val="000000"/>
      <w:sz w:val="24"/>
      <w:szCs w:val="24"/>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b w:val="0"/>
      <w:color w:val="000000"/>
      <w:sz w:val="24"/>
      <w:szCs w:val="24"/>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s="Times New Roman"/>
      <w:b w:val="0"/>
      <w:color w:val="000000"/>
      <w:sz w:val="24"/>
      <w:szCs w:val="24"/>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cs="Times New Roman"/>
      <w:b w:val="0"/>
      <w:color w:val="000000"/>
      <w:sz w:val="24"/>
      <w:szCs w:val="24"/>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b w:val="0"/>
      <w:color w:val="000000"/>
      <w:sz w:val="24"/>
      <w:szCs w:val="24"/>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cs="Times New Roman"/>
      <w:b w:val="0"/>
      <w:color w:val="000000"/>
      <w:sz w:val="24"/>
      <w:szCs w:val="24"/>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cs="Times New Roman"/>
      <w:b w:val="0"/>
      <w:color w:val="000000"/>
      <w:sz w:val="24"/>
      <w:szCs w:val="24"/>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cs="Times New Roman"/>
      <w:b w:val="0"/>
      <w:color w:val="000000"/>
      <w:sz w:val="24"/>
      <w:szCs w:val="24"/>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cs="Times New Roman"/>
      <w:b w:val="0"/>
      <w:color w:val="000000"/>
      <w:sz w:val="24"/>
      <w:szCs w:val="24"/>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cs="Times New Roman"/>
      <w:b w:val="0"/>
      <w:color w:val="000000"/>
      <w:sz w:val="24"/>
      <w:szCs w:val="24"/>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b w:val="0"/>
      <w:color w:val="000000"/>
      <w:sz w:val="24"/>
      <w:szCs w:val="24"/>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b w:val="0"/>
      <w:color w:val="000000"/>
      <w:sz w:val="24"/>
      <w:szCs w:val="24"/>
    </w:rPr>
  </w:style>
  <w:style w:type="paragraph" w:styleId="Quote">
    <w:name w:val="Quote"/>
    <w:basedOn w:val="Normal"/>
    <w:next w:val="Normal"/>
    <w:link w:val="QuoteChar"/>
    <w:uiPriority w:val="29"/>
    <w:qFormat/>
    <w:rsid w:val="00FC693F"/>
    <w:rPr>
      <w:rFonts w:ascii="Times New Roman" w:hAnsi="Times New Roman" w:eastAsia="Times New Roman" w:cs="Times New Roman"/>
      <w:b w:val="0"/>
      <w:i/>
      <w:iCs/>
      <w:color w:val="000000"/>
      <w:sz w:val="24"/>
      <w:szCs w:val="24"/>
    </w:rPr>
  </w:style>
  <w:style w:type="character" w:customStyle="1" w:styleId="QuoteChar">
    <w:name w:val="Quote Char"/>
    <w:basedOn w:val="DefaultParagraphFont"/>
    <w:link w:val="Quote"/>
    <w:uiPriority w:val="29"/>
    <w:rsid w:val="00FC693F"/>
    <w:rPr>
      <w:rFonts w:ascii="Times New Roman" w:hAnsi="Times New Roman" w:eastAsia="Times New Roman" w:cs="Times New Roman"/>
      <w:b w:val="0"/>
      <w:i/>
      <w:iCs/>
      <w:color w:val="000000"/>
      <w:sz w:val="24"/>
      <w:szCs w:val="24"/>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val="0"/>
      <w:bCs/>
      <w:i/>
      <w:iCs/>
      <w:color w:val="000000"/>
      <w:sz w:val="24"/>
      <w:szCs w:val="24"/>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b w:val="0"/>
      <w:color w:val="000000"/>
      <w:sz w:val="24"/>
      <w:szCs w:val="24"/>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b w:val="0"/>
      <w:i/>
      <w:iCs/>
      <w:color w:val="000000"/>
      <w:sz w:val="24"/>
      <w:szCs w:val="24"/>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b w:val="0"/>
      <w:i/>
      <w:iCs/>
      <w:color w:val="000000"/>
      <w:sz w:val="24"/>
      <w:szCs w:val="24"/>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b w:val="0"/>
      <w:color w:val="000000"/>
      <w:sz w:val="24"/>
      <w:szCs w:val="24"/>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b w:val="0"/>
      <w:i/>
      <w:iCs/>
      <w:color w:val="000000"/>
      <w:sz w:val="24"/>
      <w:szCs w:val="24"/>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val="0"/>
      <w:bCs/>
      <w:color w:val="000000"/>
      <w:sz w:val="24"/>
      <w:szCs w:val="24"/>
    </w:rPr>
  </w:style>
  <w:style w:type="character" w:styleId="Strong">
    <w:name w:val="Strong"/>
    <w:basedOn w:val="DefaultParagraphFont"/>
    <w:uiPriority w:val="22"/>
    <w:qFormat/>
    <w:rsid w:val="00FC693F"/>
    <w:rPr>
      <w:rFonts w:ascii="Times New Roman" w:hAnsi="Times New Roman" w:eastAsia="Times New Roman" w:cs="Times New Roman"/>
      <w:b w:val="0"/>
      <w:bCs/>
      <w:color w:val="000000"/>
      <w:sz w:val="24"/>
      <w:szCs w:val="24"/>
    </w:rPr>
  </w:style>
  <w:style w:type="character" w:styleId="Emphasis">
    <w:name w:val="Emphasis"/>
    <w:basedOn w:val="DefaultParagraphFont"/>
    <w:uiPriority w:val="20"/>
    <w:qFormat/>
    <w:rsid w:val="00FC693F"/>
    <w:rPr>
      <w:rFonts w:ascii="Times New Roman" w:hAnsi="Times New Roman" w:eastAsia="Times New Roman" w:cs="Times New Roman"/>
      <w:b w:val="0"/>
      <w:i/>
      <w:iCs/>
      <w:color w:val="000000"/>
      <w:sz w:val="24"/>
      <w:szCs w:val="24"/>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eastAsia="Times New Roman" w:cs="Times New Roman"/>
      <w:b w:val="0"/>
      <w:bCs/>
      <w:i/>
      <w:iCs/>
      <w:color w:val="000000"/>
      <w:sz w:val="24"/>
      <w:szCs w:val="24"/>
    </w:rPr>
  </w:style>
  <w:style w:type="character" w:customStyle="1" w:styleId="IntenseQuoteChar">
    <w:name w:val="Intense Quote Char"/>
    <w:basedOn w:val="DefaultParagraphFont"/>
    <w:link w:val="IntenseQuote"/>
    <w:uiPriority w:val="30"/>
    <w:rsid w:val="00FC693F"/>
    <w:rPr>
      <w:rFonts w:ascii="Times New Roman" w:hAnsi="Times New Roman" w:eastAsia="Times New Roman" w:cs="Times New Roman"/>
      <w:b w:val="0"/>
      <w:bCs/>
      <w:i/>
      <w:iCs/>
      <w:color w:val="000000"/>
      <w:sz w:val="24"/>
      <w:szCs w:val="24"/>
    </w:rPr>
  </w:style>
  <w:style w:type="character" w:styleId="SubtleEmphasis">
    <w:name w:val="Subtle Emphasis"/>
    <w:basedOn w:val="DefaultParagraphFont"/>
    <w:uiPriority w:val="19"/>
    <w:qFormat/>
    <w:rsid w:val="00FC693F"/>
    <w:rPr>
      <w:rFonts w:ascii="Times New Roman" w:hAnsi="Times New Roman" w:eastAsia="Times New Roman" w:cs="Times New Roman"/>
      <w:b w:val="0"/>
      <w:i/>
      <w:iCs/>
      <w:color w:val="000000"/>
      <w:sz w:val="24"/>
      <w:szCs w:val="24"/>
    </w:rPr>
  </w:style>
  <w:style w:type="character" w:styleId="IntenseEmphasis">
    <w:name w:val="Intense Emphasis"/>
    <w:basedOn w:val="DefaultParagraphFont"/>
    <w:uiPriority w:val="21"/>
    <w:qFormat/>
    <w:rsid w:val="00FC693F"/>
    <w:rPr>
      <w:rFonts w:ascii="Times New Roman" w:hAnsi="Times New Roman" w:eastAsia="Times New Roman" w:cs="Times New Roman"/>
      <w:b w:val="0"/>
      <w:bCs/>
      <w:i/>
      <w:iCs/>
      <w:color w:val="000000"/>
      <w:sz w:val="24"/>
      <w:szCs w:val="24"/>
    </w:rPr>
  </w:style>
  <w:style w:type="character" w:styleId="SubtleReference">
    <w:name w:val="Subtle Reference"/>
    <w:basedOn w:val="DefaultParagraphFont"/>
    <w:uiPriority w:val="31"/>
    <w:qFormat/>
    <w:rsid w:val="00FC693F"/>
    <w:rPr>
      <w:rFonts w:ascii="Times New Roman" w:hAnsi="Times New Roman" w:eastAsia="Times New Roman" w:cs="Times New Roman"/>
      <w:b w:val="0"/>
      <w:smallCaps/>
      <w:color w:val="000000"/>
      <w:sz w:val="24"/>
      <w:u w:val="single"/>
      <w:szCs w:val="24"/>
    </w:rPr>
  </w:style>
  <w:style w:type="character" w:styleId="IntenseReference">
    <w:name w:val="Intense Reference"/>
    <w:basedOn w:val="DefaultParagraphFont"/>
    <w:uiPriority w:val="32"/>
    <w:qFormat/>
    <w:rsid w:val="00FC693F"/>
    <w:rPr>
      <w:rFonts w:ascii="Times New Roman" w:hAnsi="Times New Roman" w:eastAsia="Times New Roman" w:cs="Times New Roman"/>
      <w:b w:val="0"/>
      <w:bCs/>
      <w:smallCaps/>
      <w:color w:val="000000"/>
      <w:sz w:val="24"/>
      <w:u w:val="single"/>
      <w:szCs w:val="24"/>
    </w:rPr>
  </w:style>
  <w:style w:type="character" w:styleId="BookTitle">
    <w:name w:val="Book Title"/>
    <w:basedOn w:val="DefaultParagraphFont"/>
    <w:uiPriority w:val="33"/>
    <w:qFormat/>
    <w:rsid w:val="00FC693F"/>
    <w:rPr>
      <w:rFonts w:ascii="Times New Roman" w:hAnsi="Times New Roman" w:eastAsia="Times New Roman" w:cs="Times New Roman"/>
      <w:b w:val="0"/>
      <w:bCs/>
      <w:smallCaps/>
      <w:color w:val="000000"/>
      <w:sz w:val="24"/>
      <w:szCs w:val="24"/>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s="Times New Roman"/>
      <w:b w:val="0"/>
      <w:color w:val="000000"/>
      <w:sz w:val="24"/>
      <w:szCs w:val="24"/>
    </w:rPr>
  </w:style>
  <w:style w:type="table" w:styleId="TableGrid">
    <w:name w:val="Table Grid"/>
    <w:basedOn w:val="TableNormal"/>
    <w:uiPriority w:val="59"/>
    <w:rsid w:val="00FC693F"/>
    <w:pPr>
      <w:spacing w:after="0" w:line="240" w:lineRule="auto"/>
    </w:pPr>
    <w:rPr>
      <w:rFonts w:ascii="Times New Roman" w:hAnsi="Times New Roman" w:eastAsia="Times New Roman" w:cs="Times New Roman"/>
      <w:b w:val="0"/>
      <w:color w:val="000000"/>
      <w:sz w:val="24"/>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eastAsia="Times New Roman" w:cs="Times New Roman"/>
      <w:b w:val="0"/>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otnoteText">
    <w:name w:val="Footnote Text"/>
    <w:pPr>
      <w:spacing w:line="240" w:lineRule="auto" w:after="40"/>
      <w:ind w:firstLine="0"/>
      <w:jc w:val="both"/>
    </w:pPr>
    <w:rPr>
      <w:rFonts w:ascii="Times New Roman" w:hAnsi="Times New Roman" w:eastAsia="Times New Roman" w:cs="Times New Roman"/>
      <w:b w:val="0"/>
      <w:color w:val="000000"/>
      <w:sz w:val="20"/>
      <w:szCs w:val="20"/>
    </w:rPr>
  </w:style>
  <w:style w:type="character" w:customStyle="1" w:styleId="FootnoteReference">
    <w:name w:val="Footnote Reference"/>
    <w:rPr>
      <w:rFonts w:ascii="Times New Roman" w:hAnsi="Times New Roman" w:eastAsia="Times New Roman" w:cs="Times New Roman"/>
      <w:b w:val="0"/>
      <w:color w:val="000000"/>
      <w:sz w:val="18"/>
      <w:vertAlign w:val="superscript"/>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notes" Target="footnotes.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Глава 1 Теоретические основы диверсификации и волатильности экспорта интегральных схем</dc:title>
  <dc:subject>Япония и Республика Корея</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