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Глава 1 Теоретические основы товарной и географической адаптации автомобильной торговли</w:t>
      </w:r>
    </w:p>
    <w:p>
      <w:pPr>
        <w:pStyle w:val="ThesisSection"/>
      </w:pPr>
      <w:r>
        <w:t>1.1 Международная организация автомобильного производства и особенности электрифицированных технологий</w:t>
      </w:r>
    </w:p>
    <w:p>
      <w:r>
        <w:t>Международная торговля автомобилями связывает решения о размещении производства, выборе модельного ряда и организации продаж. Автомобиль может выпускаться за пределами страны, в которой расположена штаб-квартира его производителя, а затем поставляться на несколько зарубежных рынков. Поэтому положение страны в автомобильной торговле нельзя определять только по национальной принадлежности известных марок. Для анализа необходимо установить, где произведён автомобиль, к какой технологии он относится и какое перемещение отражает используемая статистика. Эти различия особенно существенны при исследовании электрифицированного транспорта, в котором одновременно представлены несколько типов силовых установок и различные способы организации международного производства.</w:t>
      </w:r>
    </w:p>
    <w:p>
      <w:r>
        <w:t>Теоретическое объяснение такого устройства отрасли предложено в исследовании К. Хэда и Т. Майера о размещении многонационального автомобильного производства. Авторы рассматривают выбор страны сборки и рынков сбыта с учётом торговых издержек и связей между штаб-квартирой, производственными подразделениями и покупателями. В этой постановке фирма выбирает, какие модели предлагать на конкретном рынке и из какой части производственной сети их поставлять. Изменение условий торговли может затронуть каждое из этих решений, поэтому реакция производителя не сводится к изменению числа автомобилей, отправленных с одного завода.</w:t>
      </w:r>
      <w:r>
        <w:rPr>
          <w:rStyle w:val="FootnoteReference"/>
        </w:rPr>
        <w:footnoteReference w:id="1"/>
      </w:r>
      <w:r/>
    </w:p>
    <w:p>
      <w:r>
        <w:t>Для настоящего исследования из данного подхода следует необходимость разграничить конкурентные позиции фирмы и потоки товаров определённого происхождения. Рост импорта автомобилей, произведённых в Китае, может включать продукцию как китайских, так и иностранных производителей. В то же время расширение продаж марки, принадлежащей китайской компании, может обеспечиваться производством за пределами Китая. При анализе первого процесса объектом становится география производственного происхождения, второго — деятельность фирм и брендов. Эти процессы связаны, но требуют разных данных. Отчёты Международного энергетического агентства также разделяют расположение автомобильного производства и местонахождение штаб-квартир производителей, что позволяет сопоставлять международные потоки без отождествления страны сборки с национальностью компании.</w:t>
      </w:r>
      <w:r>
        <w:rPr>
          <w:rStyle w:val="FootnoteReference"/>
        </w:rPr>
        <w:footnoteReference w:id="2"/>
      </w:r>
      <w:r/>
    </w:p>
    <w:p>
      <w:r>
        <w:t>Разграничение происхождения и собственности влияет на трактовку конкурентоспособности. Увеличение стоимости ввезённых автомобилей показывает расширение определённого пограничного потока, однако само по себе не определяет, каким компаниям достались доходы и где была создана вся добавленная стоимость. Для таких выводов потребовались бы сведения о владельцах производителей, составе комплектующих и распределении операций между странами. В данной работе происхождение используется как характеристика ввезённого товара. Следовательно, выражение «китайские поставки» означает поставки автомобилей китайского происхождения, а не совокупные продажи всех китайских марок в мире.</w:t>
      </w:r>
    </w:p>
    <w:p>
      <w:r>
        <w:t>Следующее различие связано с устройством силовой установки. Под электрификацией автомобильного транспорта можно понимать применение электрической тяги с различной степенью участия двигателя внутреннего сгорания. Поэтому объединение всех электрифицированных автомобилей в одну группу затрудняет экономическое сравнение: машины различаются способом получения энергии, требованиями к зарядке и режимом использования. В исследовании выделяются аккумуляторные электромобили, подключаемые гибриды и гибриды без внешней зарядки. Такое разделение задаёт основу для анализа товарного состава поставок.</w:t>
      </w:r>
    </w:p>
    <w:p>
      <w:r>
        <w:t>Аккумуляторный электромобиль, или BEV, использует электрический двигатель и тяговую батарею, которая заряжается от внешнего источника электроэнергии. В технологическом смысле это полностью электрический автомобиль, для эксплуатации которого доступность зарядки имеет самостоятельное значение. Характеристики батареи и условия использования влияют на запас хода, а потребность в зарядке связывает выбор автомобиля с инфраструктурой. Поэтому сравнение BEV с другими автомобилями предполагает учёт не только цены приобретения, но и условий последующей эксплуатации.</w:t>
      </w:r>
      <w:r>
        <w:rPr>
          <w:rStyle w:val="FootnoteReference"/>
        </w:rPr>
        <w:footnoteReference w:id="3"/>
      </w:r>
      <w:r/>
    </w:p>
    <w:p>
      <w:r>
        <w:t>Подключаемый гибрид, или PHEV, сочетает электрический двигатель, заряжаемую от внешнего источника батарею и двигатель внутреннего сгорания. Возможность использовать два источника энергии отличает его и от BEV, и от гибрида без внешней зарядки. Экономические свойства такого автомобиля зависят от того, как часто владелец заряжает батарею и какую часть пробега обеспечивает электрическая тяга. Поэтому само отнесение машины к PHEV ещё не определяет фактическую структуру её энергопотребления. Для бензиновых PHEV, рассматриваемых в работе, сохраняется возможность использования бензина наряду с электричеством.</w:t>
      </w:r>
      <w:r>
        <w:rPr>
          <w:rStyle w:val="FootnoteReference"/>
        </w:rPr>
        <w:footnoteReference w:id="4"/>
      </w:r>
      <w:r/>
    </w:p>
    <w:p>
      <w:r>
        <w:t>Гибрид без внешней зарядки, или HEV, также объединяет двигатель внутреннего сгорания и электрический привод, однако его батарея не подключается к внешней электрической сети. Энергия восполняется в процессе работы автомобиля, в том числе при рекуперативном торможении. Ключевой отличительный признак здесь — отсутствие возможности внешней зарядки, а не полное отсутствие электрической тяги. Технические решения внутри гибридного класса могут различаться, поэтому используемая категория не должна пониматься как единая модель с одинаковыми характеристиками. В эмпирическую часть включаются бензиновые гибриды, соответствующие выбранной товарной классификации.</w:t>
      </w:r>
      <w:r>
        <w:rPr>
          <w:rStyle w:val="FootnoteReference"/>
        </w:rPr>
        <w:footnoteReference w:id="5"/>
      </w:r>
      <w:r/>
    </w:p>
    <w:p>
      <w:r>
        <w:t>Различия технологий имеют значение для международной торговли через структуру спроса и условия конкуренции. Покупатель, имеющий доступ к регулярной зарядке, и покупатель, для которого такая возможность ограничена, могут по-разному оценивать одинаковую разницу в цене BEV и PHEV. При этом сходство назначения автомобилей не делает их совершенными заменителями: значение имеют размеры, запас хода, комплектация и предпочтения потребителей. Поэтому расширение поставок одной технологии не означает автоматического замещения такого же количества машин другой технологии. Степень взаимозаменяемости является отдельным экономическим вопросом, а её численная оценка требует более подробной информации о моделях и ценах.</w:t>
      </w:r>
    </w:p>
    <w:p>
      <w:r>
        <w:t>Технологические определения необходимо отличать от границ статистического и правового учёта. Товарная номенклатура группирует машины по установленным признакам, тогда как маркетинговое название модели может подчёркивать иные характеристики. Кроме того, юридический охват конкретной торговой меры может относиться только к части товарной позиции. Например, в описании европейской компенсационной меры для новых BEV предусмотрены автомобили с двигателем внутреннего сгорания, выполняющим функцию вспомогательного увеличителя запаса хода. Поэтому техническое наименование, полный код CN8 и юридический объект меры требуют отдельного согласования. Подробная классификация используемых кодов рассматривается во второй главе.</w:t>
      </w:r>
      <w:r>
        <w:rPr>
          <w:rStyle w:val="FootnoteReference"/>
        </w:rPr>
        <w:footnoteReference w:id="6"/>
      </w:r>
      <w:r/>
    </w:p>
    <w:p>
      <w:r>
        <w:t>Для анализа адаптации текущего предложения также важно различать новые и подержанные машины. Поставка нового автомобиля и международная перепродажа ранее эксплуатировавшегося транспортного средства относятся к разным процессам формирования предложения. Их объединение затруднило бы сопоставление количества и средней стоимости: изменение доли подержанных машин могло бы изменить показатели даже без пересмотра предложения новых моделей. Поэтому ограничение исследования новыми автомобилями задаёт более определённый предмет сравнения. Оно одновременно сужает выводы: полученные результаты будут относиться к выбранной части торговли, а не ко всему автомобильному рынку.</w:t>
      </w:r>
    </w:p>
    <w:p>
      <w:r>
        <w:t>Отдельного внимания требует географическое измерение ввоза. В статистике Eurostat партнёром по импорту из-за пределов ЕС выступает страна происхождения товара, а отчитывающаяся страна отражает соответствующий поток в рамках правил европейской статистики. Такая запись описывает пересечение статистической границы и не содержит полного пути товара до конечного покупателя. Детализированная Комбинированная номенклатура позволяет разделять товарные позиции, однако сама по себе не добавляет к ним сведения о фирме, марке или последующем использовании автомобиля.</w:t>
      </w:r>
      <w:r>
        <w:rPr>
          <w:rStyle w:val="FootnoteReference"/>
        </w:rPr>
        <w:footnoteReference w:id="7"/>
      </w:r>
      <w:r/>
    </w:p>
    <w:p>
      <w:r>
        <w:t>Наиболее наглядно расхождение страны ввоза и конечного назначения раскрывается через так называемый роттердамский эффект. Товар, прибывший из третьей страны и прошедший таможенное оформление в Нидерландах, может затем направляться в другую страну ЕС. Во внешнеторговой статистике первоначальный ввоз при этом будет связан с Нидерландами. Подобное устройство учёта показывает, почему высокая доля отдельного государства во ввозе ещё не характеризует спрос его населения. На основе этих данных можно исследовать распределение потоков между странами оформления, но для восстановления физических маршрутов и конечных продаж потребовались бы дополнительные сведения.</w:t>
      </w:r>
      <w:r>
        <w:rPr>
          <w:rStyle w:val="FootnoteReference"/>
        </w:rPr>
        <w:footnoteReference w:id="8"/>
      </w:r>
      <w:r/>
    </w:p>
    <w:p>
      <w:r>
        <w:t>По той же причине необходимо согласовывать показатели разных источников. В отраслевом анализе международная торговля может измеряться через продажи автомобилей, произведённых за пределами страны реализации. В частности, такой подход используется в соответствующих расчётах Global EV Outlook 2025, где отдельно оговаривается роль различий между экспортными поставками и фактическими зарубежными продажами. Таможенный ввоз и продажи могут относиться к разным моментам времени, в том числе из-за накопления запасов. Следовательно, отраслевой отчёт полезен для характеристики производственных связей, но его показатели не становятся автоматически сопоставимым знаменателем для долей, рассчитанных по Comext.</w:t>
      </w:r>
      <w:r>
        <w:rPr>
          <w:rStyle w:val="FootnoteReference"/>
        </w:rPr>
        <w:footnoteReference w:id="9"/>
      </w:r>
      <w:r/>
    </w:p>
    <w:p>
      <w:r>
        <w:t>Таким образом, исследование автомобильной торговли требует согласовать технологию, происхождение, состояние автомобиля и характер наблюдаемого перемещения. В настоящей работе эти признаки объединяются в анализе новых BEV и бензиновых PHEV и HEV китайского происхождения, ввезённых в ЕС. Разделение технологий позволяет рассматривать изменение товарного состава, а распределение ввоза между странами — его географическую структуру. При этом особенности организации отрасли оставляют производителям несколько направлений приспособления к изменению внешних условий. Для объяснения таких изменений далее необходимо рассмотреть экономические каналы торговых барьеров и промышленной политики.</w:t>
      </w:r>
    </w:p>
    <w:p>
      <w:pPr>
        <w:pStyle w:val="ThesisSection"/>
      </w:pPr>
      <w:r>
        <w:t>1.2 Торговые барьеры и промышленная политика в условиях технологического перехода</w:t>
      </w:r>
    </w:p>
    <w:p>
      <w:r>
        <w:t>Торговый барьер изменяет условия доступа иностранного товара на внутренний рынок и тем самым влияет на решения покупателей, импортёров и производителей. Для автомобильной торговли наиболее прямым каналом выступает увеличение издержек ввоза. Однако размер установленной пошлины и изменение конечной цены не являются одной и той же величиной. Между ними находятся решения экспортёра о цене поставки, поведение посредников, изменения ассортимента и реакция конкурентов. Поэтому теоретический анализ должен начинаться с распределения дополнительной нагрузки между участниками рынка.</w:t>
      </w:r>
    </w:p>
    <w:p>
      <w:r>
        <w:t>В простейшем случае адвалорная пошлина увеличивает расходы импортёра пропорционально стоимости товара, принимаемой для её начисления. Если экспортёр сохраняет прежнюю цену, а посредники не меняют наценку, затраты на приобретение импортного автомобиля возрастают. Покупатель может отказаться от покупки, выбрать другую модель или изменить тип силовой установки. При этом результат зависит от наличия доступных заменителей. Когда переход к альтернативе относительно прост, у поставщика меньше возможностей переложить всю дополнительную нагрузку на покупателя. При ограниченном выборе повышение цены может сопровождаться менее выраженным сокращением спроса.</w:t>
      </w:r>
    </w:p>
    <w:p>
      <w:r>
        <w:t>Экспортёр, стремящийся сохранить присутствие на рынке, может принять на себя часть нагрузки через снижение цены поставки или маржи. Такая реакция имеет ограничения: она зависит от исходной прибыльности, структуры затрат и стратегической значимости рынка. Для производителя с широкой международной сетью сохранение текущих продаж может быть связано с более длительными задачами развития дилерской сети и узнаваемости марки. Поэтому одинаковая ставка барьера не предполагает одинакового изменения цены у всех поставщиков. Различия между фирмами необходимо учитывать и при переходе от анализа отдельного автомобиля к агрегированному потоку.</w:t>
      </w:r>
    </w:p>
    <w:p>
      <w:r>
        <w:t>Эмпирическая литература подтверждает важность разграничения разных уровней цен. М. Амити, С. Реддинг и Д. Вайнштейн исследуют тарифный эпизод 2018 года в США и показывают, как распределение нагрузки связано с изменением импортных цен, количества и доступных разновидностей товаров. А. Кавалло с соавторами отдельно сопоставляют пограничные и розничные цены и выявляют различия их реакции. Для автомобильного исследования важен сам вывод о необходимости наблюдать цепочку передачи издержек. Конкретные оценки американского эпизода не задают готового параметра для китайских автомобилей в ЕС: различаются товары, рыночная структура и условия регулирования.</w:t>
      </w:r>
      <w:r>
        <w:rPr>
          <w:rStyle w:val="FootnoteReference"/>
        </w:rPr>
        <w:footnoteReference w:id="10"/>
      </w:r>
      <w:r/>
    </w:p>
    <w:p>
      <w:r>
        <w:t>При анализе европейских мер необходимо различать общий импортный тариф и компенсационную меру. Компенсационные меры связаны с расследованием субсидируемого импорта и его воздействия на промышленность импортирующей стороны. Европейская комиссия указывает, что при таком расследовании рассматриваются наличие субсидирования, ущерб отрасли, связь между ними и интересы ЕС. Следовательно, данный инструмент имеет определённое правовое основание и не тождественен любой политике ограничения импорта. В то же время юридическое обоснование введения меры и экономическая оценка всех её последствий отвечают на разные вопросы.</w:t>
      </w:r>
      <w:r>
        <w:rPr>
          <w:rStyle w:val="FootnoteReference"/>
        </w:rPr>
        <w:footnoteReference w:id="11"/>
      </w:r>
      <w:r/>
    </w:p>
    <w:p>
      <w:r>
        <w:t>Субсидия способна воздействовать на предложение несколькими путями. Поддержка капитальных вложений облегчает создание производственных мощностей, финансирование исследований влияет на разработку технологий, а льготные условия привлечения ресурсов могут снижать текущие издержки. Поддержка покупателя, напротив, действует прежде всего через условия приобретения автомобиля и спрос. Объединение этих инструментов в одну сумму затрудняет объяснение реакции рынка. Даже при одинаковом размере государственных расходов они могут по-разному влиять на выпуск, структуру моделей и направление международных поставок.</w:t>
      </w:r>
    </w:p>
    <w:p>
      <w:r>
        <w:t>Ф. Биккенбах с соавторами рассматривают китайскую промышленную поддержку как сочетание прямых и косвенных инструментов. Их исследование показывает необходимость различать поддержку производителя, меры стимулирования покупки и условия предоставления ресурсов. Вместе с тем авторы обращают внимание на сложности измерения и сопоставления государственной помощи. Поэтому сам факт существования поддержки ещё не позволяет количественно установить её вклад в конкурентоспособность конкретного автомобиля. Для этого нужно определить условия получения средств, круг получателей и то, как помощь меняет решения фирм. В рамках торгового анализа сведения о субсидиях прежде всего объясняют институциональный контекст конкуренции.</w:t>
      </w:r>
      <w:r>
        <w:rPr>
          <w:rStyle w:val="FootnoteReference"/>
        </w:rPr>
        <w:footnoteReference w:id="12"/>
      </w:r>
      <w:r/>
    </w:p>
    <w:p>
      <w:r>
        <w:t>Технологический переход добавляет к обычной задаче защиты производства ещё одну цель — изменение структуры используемого транспорта. Удорожание ввозимых электромобилей может создавать более благоприятные условия для конкурирующих местных производителей, но одновременно менять доступность электрической технологии для покупателя. При этом эффект зависит от того, какие модели предоставляют ближайшую альтернативу: другие электромобили, подключаемые гибриды или автомобили с обычным двигателем внутреннего сгорания. Следовательно, оценка только защищаемого сегмента может не учитывать изменения в связанных частях автомобильного рынка.</w:t>
      </w:r>
    </w:p>
    <w:p>
      <w:r>
        <w:t>Х. Доу с соавторами исследуют это противоречие через совокупную стоимость владения и сценарии распространения электромобилей. В их постановке последствия торгового ограничения зависят от ответных стратегий производителей и различаются между странами и автомобильными классами. Такая неоднородность имеет экономическое объяснение: исходная доступность моделей и чувствительность покупателей к затратам неодинаковы. Однако сценарий принятия технологии не равен наблюдаемому изменению таможенных поставок. Он описывает результат при заданных предпосылках о поведении и развитии рынка, которые необходимо учитывать при сопоставлении с фактической статистикой.</w:t>
      </w:r>
      <w:r>
        <w:rPr>
          <w:rStyle w:val="FootnoteReference"/>
        </w:rPr>
        <w:footnoteReference w:id="13"/>
      </w:r>
      <w:r/>
    </w:p>
    <w:p>
      <w:r>
        <w:t>Влияние барьера также может распространяться по производственной цепочке. Ограничение ввоза готового автомобиля и ограничение ввоза его компонентов создают разные стимулы. В первом случае может измениться конкурентное положение сборочных предприятий, во втором — стоимость используемых ими ресурсов. Рабочая статья Д. Коффина с соавторами для USITC рассматривает такие связи в модели общего равновесия, разделяющей готовые электромобили, гибриды и комплектующие. Полученные сценарии показывают, почему итоговые изменения выпуска и торговли зависят от уровня цепочки, к которому применяется мера. Они не позволяют заменить наблюдение отдельных рынков одной универсальной оценкой.</w:t>
      </w:r>
      <w:r>
        <w:rPr>
          <w:rStyle w:val="FootnoteReference"/>
        </w:rPr>
        <w:footnoteReference w:id="14"/>
      </w:r>
      <w:r/>
    </w:p>
    <w:p>
      <w:r>
        <w:t>Сходное значение имеет включённость национальных экономик в международное производство. В работе Ф. Вингендера с соавторами для МВФ европейский переход к электромобилям рассматривается совместно с конкуренцией со стороны Китая и связями автомобильного сектора с другими отраслями. В используемых сценариях значение имеют не только импорт готовых машин, но и размещение производства и прямые инвестиции. Поэтому одинаковое изменение конкуренции может по-разному затрагивать страны с различной производственной специализацией. Для торгового исследования это означает, что распределение ввоза между государствами ЕС нельзя автоматически считать распределением итогового макроэкономического эффекта.</w:t>
      </w:r>
      <w:r>
        <w:rPr>
          <w:rStyle w:val="FootnoteReference"/>
        </w:rPr>
        <w:footnoteReference w:id="15"/>
      </w:r>
      <w:r/>
    </w:p>
    <w:p>
      <w:r>
        <w:t>Необходимо учитывать и временной горизонт. В течение короткого периода фирма приспосабливает цены, запасы и состав отгружаемых моделей при уже имеющихся мощностях. Изменение размещения производства требует иных решений и может происходить позднее. Поэтому первоначальная реакция поставок не обязана совпадать с долгосрочным изменением производственной сети. Анализ короткого периода после введения меры характеризует только наблюдаемый этап адаптации. Из него нельзя без дополнительных предпосылок вывести устойчивое изменение структуры мировой автомобильной промышленности.</w:t>
      </w:r>
    </w:p>
    <w:p>
      <w:r>
        <w:t>Выбор инструмента политики зависит от того, какие цели и ограничения включены в оценку. П. Барвик с соавторами рассматривают совместное применение тарифа и поддержки внутреннего производства в структурной модели автомобильного рынка. В их подходе благосостояние включает интересы потребителей и производителей, государственные доходы и экологический результат. Значение этой работы для теоретической постановки состоит в том, что один инструмент оценивается вместе с использованием его доходов и устройством конкуренции. Получаемые оптимальные сочетания являются результатом конкретной модели, а не общим предписанием для любой страны и любого периода.</w:t>
      </w:r>
      <w:r>
        <w:rPr>
          <w:rStyle w:val="FootnoteReference"/>
        </w:rPr>
        <w:footnoteReference w:id="16"/>
      </w:r>
      <w:r/>
    </w:p>
    <w:p>
      <w:r>
        <w:t>Из этого следует необходимость отделять наблюдаемое изменение торговли от нормативной оценки политики. Сокращение импорта защищаемого товара не устанавливает величину выигрыша местных производителей, а рост их продаж сам по себе не определяет изменение благосостояния потребителей. Аналогично увеличение поставок гибридов ещё не показывает, какое количество электрического пробега было замещено использованием топлива. Для каждого из этих выводов нужна отдельная система показателей. Таможенные данные позволяют начать с более узкого вопроса: как меняются масштаб, состав и география ввоза в условиях изменения торговых барьеров.</w:t>
      </w:r>
    </w:p>
    <w:p>
      <w:r>
        <w:t>Таким образом, торговая и промышленная политика действует через несколько связанных каналов. Меняются издержки доступа на рынок, относительные условия конкуренции, стимулы покупателей и решения о размещении производства. В автомобильной отрасли эти изменения дополняются различиями силовых установок и производственных связей. Поэтому ожидаемая адаптация должна рассматриваться как совокупность возможных решений, а не как заранее заданное сокращение одного импортного потока. Разграничение этих решений позволяет перейти к анализу товарного переключения, изменения стоимости и перераспределения поставок между направлениями.</w:t>
      </w:r>
    </w:p>
    <w:p>
      <w:pPr>
        <w:pStyle w:val="ThesisSection"/>
      </w:pPr>
      <w:r>
        <w:t>1.3 Механизмы адаптации экспортных поставок к торговым ограничениям</w:t>
      </w:r>
    </w:p>
    <w:p>
      <w:r>
        <w:t>Под адаптацией экспортных поставок в настоящей работе понимается изменение их масштаба, состава и распределения по направлениям при изменении условий международной торговли. Такое определение охватывает несколько решений, которые могут приниматься одновременно. Производитель выбирает набор предлагаемых моделей, экспортёр и импортёр согласуют условия поставки, посредники управляют запасами и распределением товара, а покупатели изменяют спрос. Наблюдаемая структура ввоза складывается из результатов этих решений. Поэтому один агрегированный показатель может скрывать разные экономические процессы.</w:t>
      </w:r>
    </w:p>
    <w:p>
      <w:r>
        <w:t>Первый механизм связан с изменением товарного предложения. Если барьер затрагивает определённую группу машин, относительные условия доступа соседних категорий на рынок могут измениться. Производитель способен увеличить предложение моделей, для которых дополнительная нагрузка ниже, либо перераспределить поставки между технологиями. Однако наличие такой возможности ещё не означает её немедленной реализации: необходимы соответствующий модельный ряд, возможность поставки и спрос. Кроме того, увеличение доли гибридов может происходить за счёт их роста, сокращения BEV или сочетания обоих изменений. Поэтому товарное переключение следует исследовать одновременно через доли и абсолютные количества.</w:t>
      </w:r>
    </w:p>
    <w:p>
      <w:r>
        <w:t>Эмпирический пример приспособления ассортимента представлен в работе А. Минондо о реакции испанских экспортёров на американские тарифы, связанные со спором Airbus–Boeing. Автор показывает, что фирмы могли сохранять экспортную выручку, заменяя продукцию товарами иного происхождения и переключаясь на разновидности, не затронутые мерами. Значение этого результата состоит в расширении набора возможных ответов на тариф: сохранение суммарного экспорта не обязательно означает отсутствие воздействия на его внутреннюю структуру. Вместе с тем механизм установлен для конкретных фирм и товаров, поэтому его наличие в автомобильной торговле необходимо проверять отдельно.</w:t>
      </w:r>
      <w:r>
        <w:rPr>
          <w:rStyle w:val="FootnoteReference"/>
        </w:rPr>
        <w:footnoteReference w:id="17"/>
      </w:r>
      <w:r/>
    </w:p>
    <w:p>
      <w:r>
        <w:t>В этой связи важно различать изменение товарного состава и установление мотивов поведения. Если после введения меры увеличивается ввоз категории, не входящей в её охват, последовательность событий согласуется с гипотезой переключения. Но она может также отражать ранее начатый выпуск новых моделей, изменение предпочтений покупателей или условия конкуренции с другими производителями. Для вывода о намеренном приспособлении конкретной фирмы нужны сведения о её решениях и ассортименте. Тем более изменение таможенной структуры само по себе не устанавливает незаконного обхода мер. В эмпирическом исследовании корректнее сначала описать наблюдаемую перестройку, затем оценить допустимые объяснения.</w:t>
      </w:r>
    </w:p>
    <w:p>
      <w:r>
        <w:t>Второй механизм проявляется в стоимости поставок. Производитель может менять цену, комплектацию и набор отгружаемых моделей, а импортёр — соотношение закупаемых автомобилей. Эти решения способны привести к различной динамике количества и стоимости. Например, увеличение числа сравнительно недорогих машин может сопровождаться небольшим ростом общей стоимости, даже если цена каждой отдельной модели остаётся неизменной. Следовательно, физическое расширение присутствия и увеличение стоимостного потока характеризуют разные стороны адаптации. Одновременное наблюдение двух показателей необходимо для разграничения масштаба ввоза и его состава.</w:t>
      </w:r>
    </w:p>
    <w:p>
      <w:r>
        <w:t>Р. Фенстра и Дж. Ромалис показывают, что средняя стоимость единицы международно торгуемого товара связана с его качеством, а отделение качества от цены требует специальной модели и дополнительных предпосылок. Для автомобильной статистики эта проблема особенно существенна из-за разнообразия моделей внутри технологической группы. Отношение стоимости к числу ввезённых машин представляет среднюю таможенную стоимость автомобиля в рассматриваемом потоке. Изменение данного отношения нельзя автоматически интерпретировать как изменение цены одной и той же машины: могли измениться размер, комплектация или соотношение моделей.</w:t>
      </w:r>
      <w:r>
        <w:rPr>
          <w:rStyle w:val="FootnoteReference"/>
        </w:rPr>
        <w:footnoteReference w:id="18"/>
      </w:r>
      <w:r/>
    </w:p>
    <w:p>
      <w:r>
        <w:t>Поэтому в дальнейшем анализе требуется разделять арифметическое и поведенческое объяснение изменения стоимости. На уровне учёта стоимость потока определяется количеством машин и средней стоимостью единицы. Это позволяет построить точное разложение наблюдаемого изменения. Но такой расчёт сам по себе не показывает, какие фирмы снизили маржу и какие покупатели выбрали другую модель. Его результат отвечает на вопрос о компонентах статистического изменения, а для установления конкретного ценового механизма нужны цены и характеристики сопоставимых автомобилей.</w:t>
      </w:r>
    </w:p>
    <w:p>
      <w:r>
        <w:t>Третий механизм связан с перераспределением направлений поставок. При ухудшении условий доступа на один рынок часть производителей может расширить предложение на других рынках. Такой процесс зависит от возможности найти покупателей, организовать продажи и обеспечить обслуживание. Он может сопровождаться увеличением совокупного экспорта или только изменением его распределения. Поэтому географическая адаптация не предполагает, что сокращение поставок в одну страну обязательно компенсируется равным приростом в другой. Ограничения спроса и предложения делают масштаб перенаправления отдельным предметом исследования.</w:t>
      </w:r>
    </w:p>
    <w:p>
      <w:r>
        <w:t>П. Файгельбаум с соавторами исследуют глобальное перераспределение торговли в условиях конфликта США и Китая. Их результаты показывают, что третьи страны могут изменять экспорт не только в непосредственно затронутые экономики, но и на остальные рынки. Это важно для выбора сравнительных групп: поставщик, против которого не вводится рассматриваемая мера, также может реагировать на изменение конкуренции. В исследовании автомобильного ввоза остальные внешние поставщики ЕС поэтому служат ориентиром сравнения, но их динамика не принимается за поведение участников, гарантированно изолированных от торговой политики.</w:t>
      </w:r>
      <w:r>
        <w:rPr>
          <w:rStyle w:val="FootnoteReference"/>
        </w:rPr>
        <w:footnoteReference w:id="19"/>
      </w:r>
      <w:r/>
    </w:p>
    <w:p>
      <w:r>
        <w:t>Неоднородность направлений рассматривается и в работе И. Балтеану, М. Морено и Ф. Виани о перенаправлении китайского экспорта в ЕС в результате американских тарифов. Авторы связывают различия результатов с характеристиками товаров и рынков назначения. Эта работа относится к другому торговому эпизоду, однако показывает, почему агрегированный вывод о перенаправлении требует проверки на более детальном уровне. Для автомобильной темы аналогичный принцип означает необходимость сравнивать технологии и страны, а не предполагать одинаковую реакцию всех товарно-географических потоков.</w:t>
      </w:r>
      <w:r>
        <w:rPr>
          <w:rStyle w:val="FootnoteReference"/>
        </w:rPr>
        <w:footnoteReference w:id="20"/>
      </w:r>
      <w:r/>
    </w:p>
    <w:p>
      <w:r>
        <w:t>Внутри географического изменения следует различать продолжающие и новые направления. Интенсивный компонент отражает изменение количества или стоимости в тех направлениях, где поставки уже существовали. Компонент появления направлений отражает положительный поток там, где в исходном периоде его не было. Возможен и выход — прекращение ранее наблюдавшихся поставок. Однако содержание этих понятий определяется уровнем данных. Ненулевой поток по стране не означает появления новой фирмы или новой модели: для такого вывода потребовалась бы соответствующая детализация.</w:t>
      </w:r>
    </w:p>
    <w:p>
      <w:r>
        <w:t>Это различие важно для оценки распространения поставок. Увеличение числа стран с положительным ввозом показывает расширение наблюдаемой географии, но не определяет вклад новых стран в общий прирост. Несколько новых направлений с небольшими потоками могут сочетаться с основным увеличением поставок в уже существовавшие страны. Обратная ситуация также возможна. Поэтому число активных направлений и величину прироста нужно рассматривать совместно. Классификация входа и выхода при этом предполагает, что отсутствие потока установлено по данным, а не приравнено к отсутствию записи без проверки.</w:t>
      </w:r>
    </w:p>
    <w:p>
      <w:r>
        <w:t>Распределение объёмов по странам дополняется измерением концентрации. Индекс Херфиндаля–Хиршмана представляет сумму квадратов долей рассматриваемых направлений: большой вес крупнейших стран повышает значение показателя. При одинаковом распределении между всеми активными направлениями индекс тем меньше, чем больше их число. Обратная величина индекса может использоваться как эффективное число равновесных направлений. В отличие от простого подсчёта стран этот показатель учитывает неравномерность распределения. Для содержательного сравнения необходимо сохранять одинаковые границы товара, территории и единицы измерения.</w:t>
      </w:r>
    </w:p>
    <w:p>
      <w:r>
        <w:t>В автомобильной торговле общий индекс концентрации зависит также от товарного состава. Если технологии изначально распределены между странами по-разному, изменение их весов меняет общую географическую картину даже при неизменной географии каждой технологии. Поэтому снижение концентрации всей корзины не обязательно означает, что каждый её компонент стал распределён равномернее. Разделение изменений групповых уровней и структуры имеет давнюю методическую основу, представленную, в частности, в работе Э. Китагавы. При нескольких взаимосвязанных факторах усреднение порядков их замены позволяет симметрично распределить вклад взаимодействия; общий подход к таким разложениям рассматривает Э. Шоррокс.</w:t>
      </w:r>
      <w:r>
        <w:rPr>
          <w:rStyle w:val="FootnoteReference"/>
        </w:rPr>
        <w:footnoteReference w:id="21"/>
      </w:r>
      <w:r/>
    </w:p>
    <w:p>
      <w:r>
        <w:t>Экономический смысл полученных компонентов определяется выбранным сравнением. Замена товарных весов при прежней географии и замена тех же весов при новой географии могут давать разные результаты. Поэтому компонент разложения представляет способ распределения наблюдаемого изменения между факторами при явно заданном правиле расчёта. Он не является самостоятельной оценкой того, что произошло бы при отсутствии торговой меры. В дальнейшем это различие позволяет использовать разложения для анализа состава потока, сохраняя отдельный вопрос о причинах его перестройки.</w:t>
      </w:r>
    </w:p>
    <w:p>
      <w:r>
        <w:t>Для стран ЕС интерпретация географической концентрации дополнительно ограничена характером статистики. Снижение зависимости ввоза от одной юрисдикции оформления характеризует статистическое распределение потока. Оно не устанавливает снижение зависимости от определённого морского маршрута, терминала или поставщика. Одни и те же страны могут использовать общую транспортную инфраструктуру, а сведения об оформлении не содержат полной информации о последующем распределении автомобилей. Поэтому вывод о большей операционной устойчивости потребовал бы данных о реальной логистике, сроках и возможности перенаправления поставок.</w:t>
      </w:r>
    </w:p>
    <w:p>
      <w:r>
        <w:t>Наконец, адаптация имеет временное измерение. Ожидание повышения барьера может создавать стимул ускорить отгрузки и накопить запасы, а после вступления меры в силу ввоз может замедлиться, пока эти запасы реализуются. Кавалло с соавторами обсуждают изменение закупок и запасов в связи с объявлением тарифов в исследуемом ими американском эпизоде. Для автомобильной темы такой механизм является одной из возможных причин расхождения между датами поставки и продаж. Следовательно, сравнение отдельных месяцев требует учёта последовательности сигналов и мер, сезонности и предшествующей динамики.</w:t>
      </w:r>
      <w:r>
        <w:rPr>
          <w:rStyle w:val="FootnoteReference"/>
        </w:rPr>
        <w:footnoteReference w:id="22"/>
      </w:r>
      <w:r/>
    </w:p>
    <w:p>
      <w:r>
        <w:t>Таким образом, товарная, стоимостная и географическая адаптация образуют взаимосвязанную систему. Изменение состава технологий влияет на агрегированную стоимость и концентрацию, а географическое расширение может происходить преимущественно за счёт существовавших направлений. Из этого следует необходимость совместного анализа уровней, долей и структурных компонентов. Данный подход позволяет определить, какие изменения подтверждаются непосредственно наблюдаемыми потоками, и сформулировать отдельные вопросы для эконометрического анализа. При этом установленное статистическое изменение сохраняет самостоятельное значение, даже если его нельзя полностью связать с одним событием торговой политики.</w:t>
      </w:r>
    </w:p>
    <w:p>
      <w:pPr>
        <w:pStyle w:val="ThesisSection"/>
      </w:pPr>
      <w:r>
        <w:t>1.4 Современные исследования и постановка собственного вопроса</w:t>
      </w:r>
    </w:p>
    <w:p>
      <w:r>
        <w:t>Исследования автомобильной торговли и электрификации различаются не только набором стран и периодом наблюдения, но и тем, какой экономический результат они стремятся объяснить. В одних работах рассматриваются торговые потоки, в других — продажи отдельных моделей и выбор покупателей, в третьих — изменение производства, благосостояния или выбросов при заданных сценариях политики. Поэтому сопоставление литературы должно учитывать единицу анализа, способ установления связи между переменными и границы вывода. Совпадение темы пошлин на китайские автомобили ещё не означает совпадения измеряемого объекта, но и изменение объекта само по себе не освобождает от сравнения с ближайшими исследованиями.</w:t>
      </w:r>
    </w:p>
    <w:p>
      <w:r>
        <w:t>Первое направление образуют модели международного производства и размещения продаж. Работа Хэда и Майера позволяет рассматривать торговый поток как результат взаимосвязанных решений фирмы о модельном ряде и источнике поставки. Для анализа китайского происхождения это задаёт важную теоретическую основу: происхождение товара является только одним измерением международной деятельности производителя. Однако на агрегированном уровне нельзя воспроизвести все фирменные решения такой модели. Следовательно, использование её логики означает прежде всего корректное определение наблюдаемого объекта и возможных каналов перестройки, а не перенесение структурных параметров из одного исследования в другое.</w:t>
      </w:r>
      <w:r>
        <w:rPr>
          <w:rStyle w:val="FootnoteReference"/>
        </w:rPr>
        <w:footnoteReference w:id="23"/>
      </w:r>
      <w:r/>
    </w:p>
    <w:p>
      <w:r>
        <w:t>Второе направление связано с воздействием торговой политики на распределение производства и макроэкономические показатели. Исследование Вингендера с соавторами для МВФ рассматривает переход Европы к электромобилям через конкуренцию, межотраслевые связи и производственную специализацию. Работа Коффина с соавторами для USITC выделяет различия между ограничениями на готовые машины и на комплектующие. Вместе эти подходы показывают, почему оценка торговой меры зависит от её места в производственной цепочке и от связи отрасли с остальной экономикой. Их результаты получены из сценарных моделей, поэтому они не подменяют анализ фактически наблюдаемого распределения ввоза между странами ЕС.</w:t>
      </w:r>
      <w:r>
        <w:rPr>
          <w:rStyle w:val="FootnoteReference"/>
        </w:rPr>
        <w:footnoteReference w:id="24"/>
      </w:r>
      <w:r/>
    </w:p>
    <w:p>
      <w:r>
        <w:t>Отдельную группу составляют исследования спроса на электромобили и общественных последствий политики. В работе Доу с соавторами, опубликованной в Nature Energy, моделируются изменения совокупной стоимости владения и принятия технологии по странам и классам автомобилей при разных ответах производителей. В статье Л. Чжан с соавторами в Resources, Conservation and Recycling рассматриваются связи торговых ограничений с выбросами и благосостоянием в сценарной модели. Такие постановки позволяют обсуждать последствия, выходящие за пределы таможенной статистики. Но переход к этим последствиям обеспечивается дополнительными данными и предпосылками; он не следует непосредственно из изменения количества ввезённых машин.</w:t>
      </w:r>
      <w:r>
        <w:rPr>
          <w:rStyle w:val="FootnoteReference"/>
        </w:rPr>
        <w:footnoteReference w:id="25"/>
      </w:r>
      <w:r/>
    </w:p>
    <w:p>
      <w:r>
        <w:t>Более широкий нормативный вопрос ставят Барвик с соавторами в работе NBER о сочетании тарифов и субсидий при переходе к электрическому транспорту. Помимо структурной модели спроса, авторы используют европейские данные регистраций и синтетический контроль для сопоставления динамики продаж существовавших моделей китайских марок с альтернативной траекторией. В анализ включаются BEV и PHEV. Поэтому расширение исследования от одного BEV к подключаемым гибридам уже нельзя считать самостоятельным признаком новизны. Для сопоставления с нашей работой существеннее различие между регистрациями фиксированного набора моделей и таможенным потоком товаров китайского происхождения, который может включать другие марки и изменение модельного состава.</w:t>
      </w:r>
      <w:r>
        <w:rPr>
          <w:rStyle w:val="FootnoteReference"/>
        </w:rPr>
        <w:footnoteReference w:id="26"/>
      </w:r>
      <w:r/>
    </w:p>
    <w:p>
      <w:r>
        <w:t>Третье направление литературы исследует наблюдаемые ответы экспортёров и перераспределение торговли. Работы Минондо и Файгельбаума с соавторами показывают, что оценка реакции не может ограничиваться одной непосредственно затронутой товарно-страновой парой. Возможно изменение разновидностей товара, происхождения и положения третьих стран. В этой группе исследований для настоящей работы важен подход к интерпретации сохранения либо роста суммарного потока: его внутренняя структура может существенно измениться. Однако установленные на фирменных данных механизмы нельзя восстановить из национальных агрегатов без дополнительной детализации.</w:t>
      </w:r>
      <w:r>
        <w:rPr>
          <w:rStyle w:val="FootnoteReference"/>
        </w:rPr>
        <w:footnoteReference w:id="27"/>
      </w:r>
      <w:r/>
    </w:p>
    <w:p>
      <w:r>
        <w:t>С указанным направлением связана и проблема средней стоимости. Фенстра и Ромалис обосновывают необходимость разграничивать качество и очищенную цену международно торгуемого товара. Исследования пограничных и розничных цен, в свою очередь, показывают, что разные звенья цепочки могут реагировать неодинаково. Поэтому количество, общая стоимость и средняя стоимость единицы должны рассматриваться как взаимодополняющие показатели. В данной работе их совместное использование позволяет точнее описать структуру потока, но не заменяет модель спроса на отдельные автомобили и не даёт самостоятельной оценки изменения качества.</w:t>
      </w:r>
      <w:r>
        <w:rPr>
          <w:rStyle w:val="FootnoteReference"/>
        </w:rPr>
        <w:footnoteReference w:id="28"/>
      </w:r>
      <w:r/>
    </w:p>
    <w:p>
      <w:r>
        <w:t>Ближайший по исходной эмпирической постановке материал — бакалаврское исследование Ю. Кэ об импорте китайских BEV в ЕС после введения компенсационных пошлин. Автор использует месячные данные за январь 2022 — январь 2026 года, сравнивает Китай с Японией, Республикой Корея и США и применяет подход разностей разностей. Помимо количества анализируются стоимость и средняя стоимость единицы. В самой работе оговариваются неполная параллельность предшествующих трендов, небольшой набор сравнения и отсутствие учёта серийной корреляции в выводе. Поэтому данный материал важен как прямой аналог вопроса и набора потоков, но не как окончательное установление причинного эффекта. Его студенческий статус также необходимо отличать от статуса журнальной публикации.</w:t>
      </w:r>
      <w:r>
        <w:rPr>
          <w:rStyle w:val="FootnoteReference"/>
        </w:rPr>
        <w:footnoteReference w:id="29"/>
      </w:r>
      <w:r/>
    </w:p>
    <w:p>
      <w:r>
        <w:t>Сопоставление с исследованием Кэ задаёт два требования к дальнейшему анализу. Во-первых, переход к другим контрольным переменным или странам не должен трактоваться как достаточная новизна: требуется содержательный вопрос, для которого эти различия важны. Во-вторых, ограничения предшествующей динамики необходимо рассматривать как часть экономической интерпретации, а не только как техническую характеристику стандартных ошибок. Если технология уже развивалась иначе до рассматриваемого события, её последующий рост требует объяснения с учётом этой траектории. Наличие длинной панели само по себе не устраняет такую проблему.</w:t>
      </w:r>
    </w:p>
    <w:p>
      <w:r>
        <w:t>В тематически близкой литературе присутствуют также экспертные и институциональные обсуждения. Т. Шелдон и Р. Дуа рассматривают развитие рынка подключаемых автомобилей и стратегические ответы в условиях тарифов, а М. Лю с соавторами обсуждают дифференциацию торговых мер по автомобильным сегментам. Эти публикации полезны для систематизации механизмов и альтернатив политики. При этом экспертная перспектива и аргументация в пользу определённого инструмента не являются эквивалентом количественной проверки наблюдаемых потоков. При использовании таких работ важно указывать жанр и не приписывать им эмпирическую идентификацию, которой они не заявляют.</w:t>
      </w:r>
      <w:r>
        <w:rPr>
          <w:rStyle w:val="FootnoteReference"/>
        </w:rPr>
        <w:footnoteReference w:id="30"/>
      </w:r>
      <w:r/>
    </w:p>
    <w:p>
      <w:r>
        <w:t>К наиболее близким публикациям относится и комментарий Доу с соавторами в Joule о расширении предложения и доступности китайских электромобилей в условиях европейских тарифов. Наличие этой работы необходимо учитывать при формулировке вклада исследования. Однако основной полный текст комментария на момент подготовки главы не получен. Поэтому в настоящей работе используются подтверждённые библиографические сведения о публикации, а отсутствие пересечения её результатов с нашим анализом не предполагается. Данное ограничение исключает заявление мирового первенства изучаемых механизмов, но не препятствует проведению собственного воспроизводимого анализа.</w:t>
      </w:r>
      <w:r>
        <w:rPr>
          <w:rStyle w:val="FootnoteReference"/>
        </w:rPr>
        <w:footnoteReference w:id="31"/>
      </w:r>
      <w:r/>
    </w:p>
    <w:p>
      <w:r>
        <w:t>Обобщение литературы позволяет сформулировать конкретную исследовательскую задачу. Необходимо определить, как одновременно меняются товарный состав и географическая концентрация поставок новых электромобилей и бензиновых гибридов китайского происхождения в ЕС. Для ответа недостаточно установить рост одной технологии или снижение общего индекса концентрации. Требуется разграничить изменение долей технологий, перераспределение стран внутри каждой технологии и роль направлений, в которых поставки уже существовали либо появились впервые. Дополнительным измерением становится сопоставление количества и стоимости при одинаковых границах статистической корзины.</w:t>
      </w:r>
    </w:p>
    <w:p>
      <w:r>
        <w:t>В качестве теоретической основы измерения используются известные методы структурного анализа. Разделение групповых уровней и весов позволяет исследовать, почему изменяется совокупный показатель, а симметричное распределение взаимодействий делает явным правило отнесения совместного изменения к отдельным факторам. Применение этих методов к автомобильным потокам не является новой математической конструкцией. Собственный вклад определяется выбором согласованного измерительного объекта, самостоятельным расчётом компонентов и объяснением того, какие выводы сохраняются при переходе от общей корзины к технологиям и странам оформления.</w:t>
      </w:r>
      <w:r>
        <w:rPr>
          <w:rStyle w:val="FootnoteReference"/>
        </w:rPr>
        <w:footnoteReference w:id="32"/>
      </w:r>
      <w:r/>
    </w:p>
    <w:p>
      <w:r>
        <w:t>Для организации исследования выделяются четыре аналитических положения. Первое предполагает, что изменение общей географической концентрации может скрывать неодинаковую динамику технологий и требует отделения состава корзины от географии внутри неё. Второе связывает расширение гибридных поставок преимущественно с увеличением потоков в продолжающие страны оформления, а не только с появлением новых направлений. Третье допускает расхождение между усилением физической доли Китая и изменением его стоимостной доли. Каждое из этих положений проверяется на величинах, непосредственно определённых выбранной статистической панелью.</w:t>
      </w:r>
    </w:p>
    <w:p>
      <w:r>
        <w:t>Четвёртое положение касается дополнительного фазового сдвига: положительное изменение относительных потоков PHEV после введения окончательных мер может сохраняться при учёте предшествующей траектории и сезонности. В отличие от арифметических разложений такая проверка зависит от модели и сравнительной группы. Поэтому результатом может стать как выделение дополнительной условной ассоциации, так и отсутствие её уверенного подтверждения. Аналитические положения используются для организации исследования; предварительная регистрация гипотез не проводилась, а постановка уточнялась после первичного изучения данных.</w:t>
      </w:r>
    </w:p>
    <w:p>
      <w:r>
        <w:t>Количественный анализ строится на разделении двух типов доказательств. Структурные тождества позволяют точно распределить наблюдаемое изменение между статистическими компонентами. Модель условных относительных потоков показывает, как выделяется связь с торговыми фазами при включённых контролях. Метод PPML, обоснованный в торговой литературе работой Ж. Сантуша Силвы и С. Тенрейро, позволяет анализировать неотрицательные потоки без предварительного логарифмирования зависимой переменной. Однако выбор оценивателя не создаёт сам по себе причинной идентификации. Содержательный вывод требует учитывать устройство сравнения и предшествующую динамику.</w:t>
      </w:r>
      <w:r>
        <w:rPr>
          <w:rStyle w:val="FootnoteReference"/>
        </w:rPr>
        <w:footnoteReference w:id="33"/>
      </w:r>
      <w:r/>
    </w:p>
    <w:p>
      <w:r>
        <w:t>Таким образом, исследование занимает место на пересечении анализа товарной адаптации, географии торговли и измерения результатов торговой политики. Его предметом являются наблюдаемые компоненты перестройки поставок и границы их модельной интерпретации. Полученные выводы должны позволить перейти от общей констатации изменения импорта к системе показателей, различающих технологии, количество, стоимость и концентрацию. Такая постановка одновременно задаёт основу для аналитической главы и определяет пределы последующих рекомендаций: они будут опираться на измеренные торговые изменения, а вопросы оптимального тарифа, благосостояния и экологического результата останутся за пределами собственной модели.</w:t>
      </w:r>
    </w:p>
    <w:p>
      <w:pPr>
        <w:pStyle w:val="ThesisSection"/>
      </w:pPr>
      <w:r>
        <w:t>Выводы по первой главе</w:t>
      </w:r>
    </w:p>
    <w:p>
      <w:r>
        <w:t>Теоретический анализ показал, что международная автомобильная торговля формируется на пересечении производственных и сбытовых решений. Происхождение товара, национальность марки, страна таможенного оформления и конечный рынок характеризуют разные стороны этого процесса. Поэтому изменение поставок автомобилей китайского происхождения нельзя непосредственно трактовать как изменение продаж китайских марок или спроса населения отдельных государств ЕС.</w:t>
      </w:r>
    </w:p>
    <w:p>
      <w:r>
        <w:t>Разделение BEV, PHEV и HEV необходимо для содержательного анализа товарной структуры. Эти технологии различаются способом получения энергии и условиями эксплуатации, вследствие чего могут по-разному реагировать на изменение относительных затрат и доступности моделей. Одновременно технические определения требуют согласования с товарной номенклатурой и юридическим охватом конкретных мер. Общая динамика выбранной корзины должна рассматриваться вместе с изменением составляющих её категорий.</w:t>
      </w:r>
    </w:p>
    <w:p>
      <w:r>
        <w:t>Торговые ограничения способны затронуть цены, ассортимент, направления поставок и размещение производства. При этом краткосрочная реакция потоков не определяет весь долгосрочный результат политики. Появление новых стран ввоза не устанавливает их преобладающий вклад в прирост, а снижение общей концентрации может сопровождаться её повышением по отдельной технологии. Аналогично различия количества и стоимости требуют анализа состава поставок, а не автоматического объяснения изменением очищенной цены.</w:t>
      </w:r>
    </w:p>
    <w:p>
      <w:r>
        <w:t>Рассмотренная литература обосновывает совместное использование товарного, стоимостного и географического измерений, одновременно показывая различия между наблюдаемой торговлей, модельными сценариями и оценкой общественных последствий. На этой основе исследование сосредоточено на разложении наблюдаемой перестройки китайских поставок и проверке условной связи относительных потоков с фазами торговых мер. Во второй главе данная постановка реализуется через формирование сопоставимой панели, структурные расчёты и эконометрический анализ с раскрытием чувствительности результатов.</w:t>
      </w:r>
    </w:p>
    <w:sectPr w:rsidR="00FC693F" w:rsidRPr="0006063C" w:rsidSect="00034616">
      <w:footerReference w:type="default" r:id="rId9"/>
      <w:pgSz w:w="11906" w:h="16838"/>
      <w:pgMar w:top="1134" w:right="567" w:bottom="1134"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right"/>
    </w:pPr>
    <w:fldSimple w:instr="PAGE">
      <w:r>
        <w:rPr>
          <w:sz w:val="20"/>
        </w:rPr>
        <w:t>1</w:t>
      </w:r>
    </w:fldSimple>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pPr>
        <w:pStyle w:val="FootnoteText"/>
      </w:pPr>
      <w:r>
        <w:rPr>
          <w:rStyle w:val="FootnoteReference"/>
        </w:rPr>
        <w:footnoteRef/>
      </w:r>
      <w:r>
        <w:t xml:space="preserve"> Head K., Mayer T. Brands in Motion: How frictions shape multinational production. Banque de France Working Paper 629. 2017. Introduction, PDF-с. 4–7.</w:t>
      </w:r>
    </w:p>
  </w:footnote>
  <w:footnote w:id="2">
    <w:p>
      <w:pPr>
        <w:pStyle w:val="FootnoteText"/>
      </w:pPr>
      <w:r>
        <w:rPr>
          <w:rStyle w:val="FootnoteReference"/>
        </w:rPr>
        <w:footnoteRef/>
      </w:r>
      <w:r>
        <w:t xml:space="preserve"> IEA. Global EV Outlook 2025. Paris, 2025. P. 31–34.</w:t>
      </w:r>
    </w:p>
  </w:footnote>
  <w:footnote w:id="3">
    <w:p>
      <w:pPr>
        <w:pStyle w:val="FootnoteText"/>
      </w:pPr>
      <w:r>
        <w:rPr>
          <w:rStyle w:val="FootnoteReference"/>
        </w:rPr>
        <w:footnoteRef/>
      </w:r>
      <w:r>
        <w:t xml:space="preserve"> U.S. Department of Energy. Alternative Fuels Data Center. All-Electric Vehicles. Раздел How It Works (дата обращения: 27.10.2026).</w:t>
      </w:r>
    </w:p>
  </w:footnote>
  <w:footnote w:id="4">
    <w:p>
      <w:pPr>
        <w:pStyle w:val="FootnoteText"/>
      </w:pPr>
      <w:r>
        <w:rPr>
          <w:rStyle w:val="FootnoteReference"/>
        </w:rPr>
        <w:footnoteRef/>
      </w:r>
      <w:r>
        <w:t xml:space="preserve"> U.S. Department of Energy. Alternative Fuels Data Center. Plug-In Hybrid Electric Vehicles. Разделы How It Works, Fueling and Driving Options (дата обращения: 27.10.2026).</w:t>
      </w:r>
    </w:p>
  </w:footnote>
  <w:footnote w:id="5">
    <w:p>
      <w:pPr>
        <w:pStyle w:val="FootnoteText"/>
      </w:pPr>
      <w:r>
        <w:rPr>
          <w:rStyle w:val="FootnoteReference"/>
        </w:rPr>
        <w:footnoteRef/>
      </w:r>
      <w:r>
        <w:t xml:space="preserve"> U.S. Department of Energy. Alternative Fuels Data Center. Hybrid Electric Vehicles. Разделы Regenerative Braking, Fuel-Efficient System Design (дата обращения: 27.10.2026).</w:t>
      </w:r>
    </w:p>
  </w:footnote>
  <w:footnote w:id="6">
    <w:p>
      <w:pPr>
        <w:pStyle w:val="FootnoteText"/>
      </w:pPr>
      <w:r>
        <w:rPr>
          <w:rStyle w:val="FootnoteReference"/>
        </w:rPr>
        <w:footnoteRef/>
      </w:r>
      <w:r>
        <w:t xml:space="preserve"> European Commission. EU Commission imposes countervailing duties on imports of battery electric vehicles (BEVs) from China. Access 2Markets, 12.12.2024. Описание охвата меры по Регламенту (ЕС) 2024/2754 (дата обращения: 27.10.2026).</w:t>
      </w:r>
    </w:p>
  </w:footnote>
  <w:footnote w:id="7">
    <w:p>
      <w:pPr>
        <w:pStyle w:val="FootnoteText"/>
      </w:pPr>
      <w:r>
        <w:rPr>
          <w:rStyle w:val="FootnoteReference"/>
        </w:rPr>
        <w:footnoteRef/>
      </w:r>
      <w:r>
        <w:t xml:space="preserve"> Eurostat. International trade in goods — detailed data. Reference metadata. Разделы 3.2–3.4 (дата обращения: 27.10.2026).</w:t>
      </w:r>
    </w:p>
  </w:footnote>
  <w:footnote w:id="8">
    <w:p>
      <w:pPr>
        <w:pStyle w:val="FootnoteText"/>
      </w:pPr>
      <w:r>
        <w:rPr>
          <w:rStyle w:val="FootnoteReference"/>
        </w:rPr>
        <w:footnoteRef/>
      </w:r>
      <w:r>
        <w:t xml:space="preserve"> Eurostat. Trade in goods. European statistics learning hub. Раздел What is the Rotterdam effect? (дата обращения: 27.10.2026).</w:t>
      </w:r>
    </w:p>
  </w:footnote>
  <w:footnote w:id="9">
    <w:p>
      <w:pPr>
        <w:pStyle w:val="FootnoteText"/>
      </w:pPr>
      <w:r>
        <w:rPr>
          <w:rStyle w:val="FootnoteReference"/>
        </w:rPr>
        <w:footnoteRef/>
      </w:r>
      <w:r>
        <w:t xml:space="preserve"> IEA. Global EV Outlook 2025. Paris, 2025. P. 33–35, примечания к данным международной торговли.</w:t>
      </w:r>
    </w:p>
  </w:footnote>
  <w:footnote w:id="10">
    <w:p>
      <w:pPr>
        <w:pStyle w:val="FootnoteText"/>
      </w:pPr>
      <w:r>
        <w:rPr>
          <w:rStyle w:val="FootnoteReference"/>
        </w:rPr>
        <w:footnoteRef/>
      </w:r>
      <w:r>
        <w:t xml:space="preserve"> Amiti M., Redding S. J., Weinstein D. E. The Impact of the 2018 Tariffs on Prices and Welfare // Journal of Economic Perspectives 33(4),187–210. 2019. DOI 10.1257/jep.33.4.187. Целевое чтение с. 187–189. Cavallo A., Gopinath G., Neiman B., Tang J. Tariff Pass-Through at the Border and at the Store: Evidence from US Trade Policy // American Economic Review: Insights 3(1),19–34. 2021. DOI 10.1257/aeri.20190536. Для второй работы использован NBER Working Paper 26396 (2019), аннотация и введение.</w:t>
      </w:r>
    </w:p>
  </w:footnote>
  <w:footnote w:id="11">
    <w:p>
      <w:pPr>
        <w:pStyle w:val="FootnoteText"/>
      </w:pPr>
      <w:r>
        <w:rPr>
          <w:rStyle w:val="FootnoteReference"/>
        </w:rPr>
        <w:footnoteRef/>
      </w:r>
      <w:r>
        <w:t xml:space="preserve"> European Commission. Anti-subsidy measures; Anti-subsidy investigations. Trade and Economic Security. Описание инструментов и предмета расследования (дата обращения: 27.10.2026).</w:t>
      </w:r>
    </w:p>
  </w:footnote>
  <w:footnote w:id="12">
    <w:p>
      <w:pPr>
        <w:pStyle w:val="FootnoteText"/>
      </w:pPr>
      <w:r>
        <w:rPr>
          <w:rStyle w:val="FootnoteReference"/>
        </w:rPr>
        <w:footnoteRef/>
      </w:r>
      <w:r>
        <w:t xml:space="preserve"> Bickenbach F., Dohse D., Langhammer R. J., Liu W.-H. EU Concerns About Chinese Subsidies: What the Evidence Suggests // Intereconomics 59(4),214–221. 2024. DOI 10.2478/ie-2024-0044.</w:t>
      </w:r>
    </w:p>
  </w:footnote>
  <w:footnote w:id="13">
    <w:p>
      <w:pPr>
        <w:pStyle w:val="FootnoteText"/>
      </w:pPr>
      <w:r>
        <w:rPr>
          <w:rStyle w:val="FootnoteReference"/>
        </w:rPr>
        <w:footnoteRef/>
      </w:r>
      <w:r>
        <w:t xml:space="preserve"> Dou H. et al. Distributional impacts of EU tariffs on Chinese electric vehicles across European markets // Nature Energy; accepted author version. 2026. DOI 10.1038/s41560-026-02105-7. Принятая авторская версия, аннотация.</w:t>
      </w:r>
    </w:p>
  </w:footnote>
  <w:footnote w:id="14">
    <w:p>
      <w:pPr>
        <w:pStyle w:val="FootnoteText"/>
      </w:pPr>
      <w:r>
        <w:rPr>
          <w:rStyle w:val="FootnoteReference"/>
        </w:rPr>
        <w:footnoteRef/>
      </w:r>
      <w:r>
        <w:t xml:space="preserve"> Coffin D., Crotty P., Walling J., Yuan W. J. J. The Impact of Changes in Trade Policies on the Electric Vehicle (EV) Sector – A CGE Analysis // USITC Economics Working Paper 2024–05–A. Аннотация, с. 2.</w:t>
      </w:r>
    </w:p>
  </w:footnote>
  <w:footnote w:id="15">
    <w:p>
      <w:pPr>
        <w:pStyle w:val="FootnoteText"/>
      </w:pPr>
      <w:r>
        <w:rPr>
          <w:rStyle w:val="FootnoteReference"/>
        </w:rPr>
        <w:footnoteRef/>
      </w:r>
      <w:r>
        <w:t xml:space="preserve"> Wingender P., Yao J., Zymek R. et al. Europe’s Shift to EVs Amid Intensifying Global Competition // IMF Working Paper 24/218. 2024. Аннотация; разделы 3–4.</w:t>
      </w:r>
    </w:p>
  </w:footnote>
  <w:footnote w:id="16">
    <w:p>
      <w:pPr>
        <w:pStyle w:val="FootnoteText"/>
      </w:pPr>
      <w:r>
        <w:rPr>
          <w:rStyle w:val="FootnoteReference"/>
        </w:rPr>
        <w:footnoteRef/>
      </w:r>
      <w:r>
        <w:t xml:space="preserve"> Barwick P. J., Collison J., Goldberg P. K. et al. From Trade War to Green Transition: Optimal Electric Vehicle Tariffs with Revenue-Funded Subsidies // NBER Working Paper 35334, June 2026. DOI 10.3386/w35334. Разделы 2, 5–6.</w:t>
      </w:r>
    </w:p>
  </w:footnote>
  <w:footnote w:id="17">
    <w:p>
      <w:pPr>
        <w:pStyle w:val="FootnoteText"/>
      </w:pPr>
      <w:r>
        <w:rPr>
          <w:rStyle w:val="FootnoteReference"/>
        </w:rPr>
        <w:footnoteRef/>
      </w:r>
      <w:r>
        <w:t xml:space="preserve"> Minondo A. How exporters neutralised an increase in tariffs // The World Economy 47(3), 1274–1296. 2024. DOI 10.1111/twec.13492. С. 1274–1275.</w:t>
      </w:r>
    </w:p>
  </w:footnote>
  <w:footnote w:id="18">
    <w:p>
      <w:pPr>
        <w:pStyle w:val="FootnoteText"/>
      </w:pPr>
      <w:r>
        <w:rPr>
          <w:rStyle w:val="FootnoteReference"/>
        </w:rPr>
        <w:footnoteRef/>
      </w:r>
      <w:r>
        <w:t xml:space="preserve"> Feenstra R. C., Romalis J. International Prices and Endogenous Quality // Quarterly Journal of Economics 129(2),477–527. 2014. DOI 10.1093/qje/qju 001. Использована NBER-версия 2012 года, аннотация и введение.</w:t>
      </w:r>
    </w:p>
  </w:footnote>
  <w:footnote w:id="19">
    <w:p>
      <w:pPr>
        <w:pStyle w:val="FootnoteText"/>
      </w:pPr>
      <w:r>
        <w:rPr>
          <w:rStyle w:val="FootnoteReference"/>
        </w:rPr>
        <w:footnoteRef/>
      </w:r>
      <w:r>
        <w:t xml:space="preserve"> Fajgelbaum P., Goldberg P., Kennedy P. et al. The US-China Trade War and Global Reallocations // American Economic Review: Insights 6(2),295–312. 2024. DOI 10.1257/aeri.20230094. Прочитана NBER-версия, пересмотренная в декабре 2023 года, аннотация и введение.</w:t>
      </w:r>
    </w:p>
  </w:footnote>
  <w:footnote w:id="20">
    <w:p>
      <w:pPr>
        <w:pStyle w:val="FootnoteText"/>
      </w:pPr>
      <w:r>
        <w:rPr>
          <w:rStyle w:val="FootnoteReference"/>
        </w:rPr>
        <w:footnoteRef/>
      </w:r>
      <w:r>
        <w:t xml:space="preserve"> Balteanu I., Moreno M., Viani F. Flooded by China? Trade diversion due to US tariffs during Trump’s first mandate // Banco de España Working Paper 2634, October 2026. DOI 10.53479/44545. Аннотация.</w:t>
      </w:r>
    </w:p>
  </w:footnote>
  <w:footnote w:id="21">
    <w:p>
      <w:pPr>
        <w:pStyle w:val="FootnoteText"/>
      </w:pPr>
      <w:r>
        <w:rPr>
          <w:rStyle w:val="FootnoteReference"/>
        </w:rPr>
        <w:footnoteRef/>
      </w:r>
      <w:r>
        <w:t xml:space="preserve"> Kitagawa E. M. Components of a Difference Between Two Rates // Journal of the American Statistical Association 50(272),1168–1194. 1955. DOI 10.1080/01621459.1955.10501299. Shorrocks A. F. Decomposition procedures for distributional analysis: a unified framework based on the Shapley value // Journal of Economic Inequality 11,99–126. 2013. DOI 10.1007/s10888-011-9214-z.</w:t>
      </w:r>
    </w:p>
  </w:footnote>
  <w:footnote w:id="22">
    <w:p>
      <w:pPr>
        <w:pStyle w:val="FootnoteText"/>
      </w:pPr>
      <w:r>
        <w:rPr>
          <w:rStyle w:val="FootnoteReference"/>
        </w:rPr>
        <w:footnoteRef/>
      </w:r>
      <w:r>
        <w:t xml:space="preserve"> Cavallo A., Gopinath G., Neiman B., Tang J. Tariff Pass-Through at the Border and at the Store: Evidence from US Trade Policy // American Economic Review: Insights 3(1),19–34. 2021. DOI 10.1257/aeri.20190536. Прочитана NBER-версия 26396 (2019), введение, с. 3–4.</w:t>
      </w:r>
    </w:p>
  </w:footnote>
  <w:footnote w:id="23">
    <w:p>
      <w:pPr>
        <w:pStyle w:val="FootnoteText"/>
      </w:pPr>
      <w:r>
        <w:rPr>
          <w:rStyle w:val="FootnoteReference"/>
        </w:rPr>
        <w:footnoteRef/>
      </w:r>
      <w:r>
        <w:t xml:space="preserve"> Head K., Mayer T. Brands in Motion: How frictions shape multinational production. Banque de France Working Paper 629. 2017. Introduction, PDF-с. 4–7.</w:t>
      </w:r>
    </w:p>
  </w:footnote>
  <w:footnote w:id="24">
    <w:p>
      <w:pPr>
        <w:pStyle w:val="FootnoteText"/>
      </w:pPr>
      <w:r>
        <w:rPr>
          <w:rStyle w:val="FootnoteReference"/>
        </w:rPr>
        <w:footnoteRef/>
      </w:r>
      <w:r>
        <w:t xml:space="preserve"> Wingender P., Yao J., Zymek R. et al. Europe’s Shift to EVs Amid Intensifying Global Competition // IMF Working Paper 24/218. 2024. Coffin D., Crotty P., Walling J., Yuan W. J. J. The Impact of Changes in Trade Policies on the Electric Vehicle (EV) Sector – A CGE Analysis // USITC Economics Working Paper 2024–05–A.</w:t>
      </w:r>
    </w:p>
  </w:footnote>
  <w:footnote w:id="25">
    <w:p>
      <w:pPr>
        <w:pStyle w:val="FootnoteText"/>
      </w:pPr>
      <w:r>
        <w:rPr>
          <w:rStyle w:val="FootnoteReference"/>
        </w:rPr>
        <w:footnoteRef/>
      </w:r>
      <w:r>
        <w:t xml:space="preserve"> Dou H. et al. Distributional impacts of EU tariffs on Chinese electric vehicles across European markets // Nature Energy; accepted author version. 2026. DOI 10.1038/s41560-026-02105-7. Zhang L., Wen Z., Sun X. et al. Revealing the impact of electric vehicles trade restrictions on greenhouse gas emissions and welfare // Resources, Conservation and Recycling 227,108744. 2026. DOI 10.1016/j.resconrec.2025.108744. Вторая работа используется по издательской аннотации.</w:t>
      </w:r>
    </w:p>
  </w:footnote>
  <w:footnote w:id="26">
    <w:p>
      <w:pPr>
        <w:pStyle w:val="FootnoteText"/>
      </w:pPr>
      <w:r>
        <w:rPr>
          <w:rStyle w:val="FootnoteReference"/>
        </w:rPr>
        <w:footnoteRef/>
      </w:r>
      <w:r>
        <w:t xml:space="preserve"> Barwick P. J., Collison J., Goldberg P. K. et al. From Trade War to Green Transition: Optimal Electric Vehicle Tariffs with Revenue-Funded Subsidies // NBER Working Paper 35334, June 2026. DOI 10.3386/w35334. Раздел 6.2 и приложение D.1.</w:t>
      </w:r>
    </w:p>
  </w:footnote>
  <w:footnote w:id="27">
    <w:p>
      <w:pPr>
        <w:pStyle w:val="FootnoteText"/>
      </w:pPr>
      <w:r>
        <w:rPr>
          <w:rStyle w:val="FootnoteReference"/>
        </w:rPr>
        <w:footnoteRef/>
      </w:r>
      <w:r>
        <w:t xml:space="preserve"> Minondo A. How exporters neutralised an increase in tariffs // The World Economy 47(3), 1274–1296. 2024. DOI 10.1111/twec.13492. Fajgelbaum P., Goldberg P., Kennedy P. et al. The US-China Trade War and Global Reallocations // American Economic Review: Insights 6(2),295–312. 2024. DOI 10.1257/aeri.20230094.</w:t>
      </w:r>
    </w:p>
  </w:footnote>
  <w:footnote w:id="28">
    <w:p>
      <w:pPr>
        <w:pStyle w:val="FootnoteText"/>
      </w:pPr>
      <w:r>
        <w:rPr>
          <w:rStyle w:val="FootnoteReference"/>
        </w:rPr>
        <w:footnoteRef/>
      </w:r>
      <w:r>
        <w:t xml:space="preserve"> Feenstra R. C., Romalis J. International Prices and Endogenous Quality // Quarterly Journal of Economics 129(2),477–527. 2014. DOI 10.1093/qje/qju 001. Cavallo A., Gopinath G., Neiman B., Tang J. Tariff Pass-Through at the Border and at the Store: Evidence from US Trade Policy // American Economic Review: Insights 3(1),19–34. 2021. DOI 10.1257/aeri.20190536.</w:t>
      </w:r>
    </w:p>
  </w:footnote>
  <w:footnote w:id="29">
    <w:p>
      <w:pPr>
        <w:pStyle w:val="FootnoteText"/>
      </w:pPr>
      <w:r>
        <w:rPr>
          <w:rStyle w:val="FootnoteReference"/>
        </w:rPr>
        <w:footnoteRef/>
      </w:r>
      <w:r>
        <w:t xml:space="preserve"> Ke Y. EU Countervailing Duties and Chinese BEV Trade Flows: Descriptive Evidence from a Difference-in-Differences Analysis // Bachelor thesis, Umeå University. 2026. Аннотация; обсуждение ограничений. Бакалаврская работа.</w:t>
      </w:r>
    </w:p>
  </w:footnote>
  <w:footnote w:id="30">
    <w:p>
      <w:pPr>
        <w:pStyle w:val="FootnoteText"/>
      </w:pPr>
      <w:r>
        <w:rPr>
          <w:rStyle w:val="FootnoteReference"/>
        </w:rPr>
        <w:footnoteRef/>
      </w:r>
      <w:r>
        <w:t xml:space="preserve"> Sheldon T. L., Dua R. A perspective on the evolving plug-in electric vehicle landscape amid trade tariffs and strategic responses // Energy Research &amp; Social Science 127,104327. 2025. DOI 10.1016/j.erss.2025.104327. Liu M., Hao H., Sun X. et al. The potential for differentiated vehicle segment tariffs // Nature Energy 10,1042–1044. 2025. DOI 10.1038/s41560-025-01798-6. По доступным аннотациям и фрагментам.</w:t>
      </w:r>
    </w:p>
  </w:footnote>
  <w:footnote w:id="31">
    <w:p>
      <w:pPr>
        <w:pStyle w:val="FootnoteText"/>
      </w:pPr>
      <w:r>
        <w:rPr>
          <w:rStyle w:val="FootnoteReference"/>
        </w:rPr>
        <w:footnoteRef/>
      </w:r>
      <w:r>
        <w:t xml:space="preserve"> Dou H., Hao H., Mai L. et al. Observed constrained expansion and diminished affordability under the EU’s tariffs on Chinese electric vehicles // Joule 10(6),102486. 2026. DOI 10.1016/j.joule.2026.102486. Основной полный текст не получен. Проверены издательские метаданные и карточка University of Groningen (дата обращения: 27.10.2026).</w:t>
      </w:r>
    </w:p>
  </w:footnote>
  <w:footnote w:id="32">
    <w:p>
      <w:pPr>
        <w:pStyle w:val="FootnoteText"/>
      </w:pPr>
      <w:r>
        <w:rPr>
          <w:rStyle w:val="FootnoteReference"/>
        </w:rPr>
        <w:footnoteRef/>
      </w:r>
      <w:r>
        <w:t xml:space="preserve"> Kitagawa E. M. Components of a Difference Between Two Rates // Journal of the American Statistical Association 50(272),1168–1194. 1955. DOI 10.1080/01621459.1955.10501299. Shorrocks A. F. Decomposition procedures for distributional analysis: a unified framework based on the Shapley value // Journal of Economic Inequality 11,99–126. 2013. DOI 10.1007/s10888-011-9214-z.</w:t>
      </w:r>
    </w:p>
  </w:footnote>
  <w:footnote w:id="33">
    <w:p>
      <w:pPr>
        <w:pStyle w:val="FootnoteText"/>
      </w:pPr>
      <w:r>
        <w:rPr>
          <w:rStyle w:val="FootnoteReference"/>
        </w:rPr>
        <w:footnoteRef/>
      </w:r>
      <w:r>
        <w:t xml:space="preserve"> Santos Silva J. M. C., Tenreyro S. The Log of Gravity // Review of Economics and Statistics 88(4),641–658. 2006. DOI 10.1162/rest.88.4.641.</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pageBreakBefore w:val="0"/>
      <w:widowControl/>
      <w:spacing w:line="360" w:lineRule="auto" w:before="0" w:after="0"/>
      <w:ind w:firstLine="709" w:left="0" w:right="0"/>
      <w:jc w:val="both"/>
    </w:pPr>
    <w:rPr>
      <w:rFonts w:ascii="Times New Roman" w:hAnsi="Times New Roman" w:eastAsia="Times New Roman" w:cs="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val="0"/>
      <w:keepLines w:val="0"/>
      <w:pageBreakBefore w:val="0"/>
      <w:widowControl/>
      <w:spacing w:after="240" w:line="360" w:lineRule="auto" w:before="0"/>
      <w:ind w:firstLine="0" w:left="0" w:right="0"/>
      <w:contextualSpacing/>
      <w:jc w:val="center"/>
    </w:pPr>
    <w:rPr>
      <w:rFonts w:cstheme="majorBidi" w:ascii="Times New Roman" w:hAnsi="Times New Roman" w:eastAsia="Times New Roman" w:cs="Times New Roman"/>
      <w:b/>
      <w:i w:val="0"/>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esisChapter">
    <w:name w:val="Thesis Chapter"/>
    <w:basedOn w:val="Normal"/>
    <w:pPr>
      <w:keepNext/>
      <w:keepLines/>
      <w:pageBreakBefore/>
      <w:widowControl/>
      <w:spacing w:line="360" w:lineRule="auto" w:before="0" w:after="240"/>
      <w:ind w:firstLine="0" w:left="0" w:right="0"/>
      <w:jc w:val="left"/>
      <w:outlineLvl w:val="0"/>
    </w:pPr>
    <w:rPr>
      <w:rFonts w:ascii="Times New Roman" w:hAnsi="Times New Roman" w:eastAsia="Times New Roman" w:cs="Times New Roman"/>
      <w:b/>
      <w:i w:val="0"/>
      <w:color w:val="000000"/>
      <w:sz w:val="28"/>
    </w:rPr>
  </w:style>
  <w:style w:type="paragraph" w:customStyle="1" w:styleId="ThesisSection">
    <w:name w:val="Thesis Section"/>
    <w:basedOn w:val="Normal"/>
    <w:pPr>
      <w:keepNext/>
      <w:keepLines/>
      <w:pageBreakBefore w:val="0"/>
      <w:widowControl/>
      <w:spacing w:line="360" w:lineRule="auto" w:before="280" w:after="160"/>
      <w:ind w:firstLine="0" w:left="0" w:right="0"/>
      <w:jc w:val="left"/>
      <w:outlineLvl w:val="1"/>
    </w:pPr>
    <w:rPr>
      <w:rFonts w:ascii="Times New Roman" w:hAnsi="Times New Roman" w:eastAsia="Times New Roman" w:cs="Times New Roman"/>
      <w:b/>
      <w:i w:val="0"/>
      <w:color w:val="000000"/>
      <w:sz w:val="24"/>
    </w:rPr>
  </w:style>
  <w:style w:type="paragraph" w:customStyle="1" w:styleId="ThesisFigure">
    <w:name w:val="Thesis Figure"/>
    <w:basedOn w:val="Normal"/>
    <w:pPr>
      <w:keepNext w:val="0"/>
      <w:keepLines w:val="0"/>
      <w:pageBreakBefore w:val="0"/>
      <w:widowControl/>
      <w:spacing w:line="276" w:lineRule="auto" w:before="60" w:after="60"/>
      <w:ind w:firstLine="0" w:left="0" w:right="0"/>
      <w:jc w:val="center"/>
    </w:pPr>
    <w:rPr>
      <w:rFonts w:ascii="Times New Roman" w:hAnsi="Times New Roman" w:eastAsia="Times New Roman" w:cs="Times New Roman"/>
      <w:b/>
      <w:i w:val="0"/>
      <w:color w:val="000000"/>
      <w:sz w:val="24"/>
    </w:rPr>
  </w:style>
  <w:style w:type="paragraph" w:customStyle="1" w:styleId="ThesisSource">
    <w:name w:val="Thesis Source"/>
    <w:basedOn w:val="Normal"/>
    <w:pPr>
      <w:keepNext w:val="0"/>
      <w:keepLines w:val="0"/>
      <w:pageBreakBefore w:val="0"/>
      <w:widowControl/>
      <w:spacing w:line="276" w:lineRule="auto" w:before="60" w:after="160"/>
      <w:ind w:firstLine="0" w:left="0" w:right="0"/>
      <w:jc w:val="center"/>
    </w:pPr>
    <w:rPr>
      <w:rFonts w:ascii="Times New Roman" w:hAnsi="Times New Roman" w:eastAsia="Times New Roman" w:cs="Times New Roman"/>
      <w:b w:val="0"/>
      <w:i/>
      <w:color w:val="000000"/>
      <w:sz w:val="20"/>
    </w:rPr>
  </w:style>
  <w:style w:type="paragraph" w:customStyle="1" w:styleId="ThesisTableNumber">
    <w:name w:val="Thesis Table Number"/>
    <w:basedOn w:val="Normal"/>
    <w:pPr>
      <w:keepNext w:val="0"/>
      <w:keepLines w:val="0"/>
      <w:pageBreakBefore w:val="0"/>
      <w:widowControl/>
      <w:spacing w:line="276" w:lineRule="auto" w:before="160" w:after="40"/>
      <w:ind w:firstLine="0" w:left="0" w:right="0"/>
      <w:jc w:val="right"/>
    </w:pPr>
    <w:rPr>
      <w:rFonts w:ascii="Times New Roman" w:hAnsi="Times New Roman" w:eastAsia="Times New Roman" w:cs="Times New Roman"/>
      <w:b w:val="0"/>
      <w:i w:val="0"/>
      <w:color w:val="000000"/>
      <w:sz w:val="20"/>
    </w:rPr>
  </w:style>
  <w:style w:type="paragraph" w:customStyle="1" w:styleId="ThesisTableTitle">
    <w:name w:val="Thesis Table Title"/>
    <w:basedOn w:val="Normal"/>
    <w:pPr>
      <w:keepNext w:val="0"/>
      <w:keepLines w:val="0"/>
      <w:pageBreakBefore w:val="0"/>
      <w:widowControl/>
      <w:spacing w:line="276" w:lineRule="auto" w:before="0" w:after="100"/>
      <w:ind w:firstLine="0" w:left="0" w:right="0"/>
      <w:jc w:val="center"/>
    </w:pPr>
    <w:rPr>
      <w:rFonts w:ascii="Times New Roman" w:hAnsi="Times New Roman" w:eastAsia="Times New Roman" w:cs="Times New Roman"/>
      <w:b w:val="0"/>
      <w:i w:val="0"/>
      <w:color w:val="000000"/>
      <w:sz w:val="20"/>
    </w:rPr>
  </w:style>
  <w:style w:type="paragraph" w:customStyle="1" w:styleId="FootnoteText">
    <w:name w:val="Footnote Text"/>
    <w:basedOn w:val="Normal"/>
    <w:pPr>
      <w:keepNext w:val="0"/>
      <w:keepLines w:val="0"/>
      <w:pageBreakBefore w:val="0"/>
      <w:widowControl/>
      <w:spacing w:line="240" w:lineRule="auto" w:before="0" w:after="0"/>
      <w:ind w:firstLine="0" w:left="0" w:right="0"/>
      <w:jc w:val="both"/>
    </w:pPr>
    <w:rPr>
      <w:rFonts w:ascii="Times New Roman" w:hAnsi="Times New Roman" w:eastAsia="Times New Roman" w:cs="Times New Roman"/>
      <w:b w:val="0"/>
      <w:i w:val="0"/>
      <w:color w:val="000000"/>
      <w:sz w:val="20"/>
    </w:rPr>
  </w:style>
  <w:style w:type="character" w:customStyle="1" w:styleId="FootnoteReference">
    <w:name w:val="Footnote Reference"/>
    <w:rPr>
      <w:rFonts w:ascii="Times New Roman" w:hAnsi="Times New Roman" w:eastAsia="Times New Roman" w:cs="Times New Roman"/>
      <w:b w:val="0"/>
      <w:i w:val="0"/>
      <w:color w:val="000000"/>
      <w:sz w:val="20"/>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Теоретические основы товарной и географической адаптации автомобильной торговли</dc:title>
  <dc:subject>Подготовка к написанию диплома по проверенным данным 2021–2025</dc:subject>
  <dc:creator>Автор исследования</dc:creator>
  <cp:keywords>Comext, Китай, ЕС, BEV, PHEV, HEV</cp:keywords>
  <dc:description>generated by python-docx</dc:description>
  <cp:lastModifiedBy/>
  <cp:revision>1</cp:revision>
  <dcterms:created xsi:type="dcterms:W3CDTF">2013-12-23T23:15:00Z</dcterms:created>
  <dcterms:modified xsi:type="dcterms:W3CDTF">2013-12-23T23:15:00Z</dcterms:modified>
  <cp:category/>
</cp:coreProperties>
</file>