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line="240" w:lineRule="auto" w:after="120"/>
        <w:jc w:val="center"/>
      </w:pPr>
      <w:r>
        <w:rPr>
          <w:rFonts w:ascii="Times New Roman" w:hAnsi="Times New Roman"/>
          <w:b/>
          <w:color w:val="000000"/>
          <w:sz w:val="24"/>
        </w:rPr>
        <w:t>Волатильность экспорта интегральных схем Японии и Республики Корея с учетом товарной структуры и географии поставок</w:t>
      </w:r>
    </w:p>
    <w:p>
      <w:pPr>
        <w:widowControl/>
        <w:spacing w:line="276" w:lineRule="auto" w:after="120"/>
      </w:pPr>
      <w:r>
        <w:rPr>
          <w:rFonts w:ascii="Times New Roman" w:hAnsi="Times New Roman"/>
          <w:b w:val="0"/>
          <w:color w:val="000000"/>
          <w:sz w:val="24"/>
        </w:rPr>
        <w:t>Материалы исследования для обсуждения с научной руководительницей</w:t>
      </w:r>
    </w:p>
    <w:p>
      <w:pPr>
        <w:widowControl/>
        <w:spacing w:line="276" w:lineRule="auto" w:after="120"/>
      </w:pPr>
      <w:r>
        <w:rPr>
          <w:rFonts w:ascii="Times New Roman" w:hAnsi="Times New Roman"/>
          <w:b w:val="0"/>
          <w:color w:val="000000"/>
          <w:sz w:val="24"/>
        </w:rPr>
        <w:t>16 октября 2026 года</w:t>
      </w:r>
    </w:p>
    <w:p>
      <w:pPr>
        <w:pStyle w:val="Heading1"/>
        <w:widowControl/>
        <w:spacing w:line="276" w:lineRule="auto" w:after="120"/>
      </w:pPr>
      <w:r>
        <w:rPr>
          <w:rFonts w:ascii="Times New Roman" w:hAnsi="Times New Roman"/>
          <w:b/>
          <w:color w:val="000000"/>
          <w:sz w:val="24"/>
        </w:rPr>
        <w:t>1 Постановка исследования</w:t>
      </w:r>
    </w:p>
    <w:p>
      <w:pPr>
        <w:widowControl/>
        <w:spacing w:line="276" w:lineRule="auto" w:after="120"/>
      </w:pPr>
      <w:r>
        <w:rPr>
          <w:rFonts w:ascii="Times New Roman" w:hAnsi="Times New Roman"/>
          <w:b w:val="0"/>
          <w:color w:val="000000"/>
          <w:sz w:val="24"/>
        </w:rPr>
        <w:t>Я исследую, сопровождается ли снижение географической концентрации экспорта интегральных схем повышением его устойчивости и какую роль в этом играет товарная структура. Для Японии и Республики Корея собрана полная месячная база за 2017–2024 годы, рассчитаны основная модель и проверки устойчивости. Работа относится к международной торговле и мировой экономике.</w:t>
      </w:r>
    </w:p>
    <w:p>
      <w:pPr>
        <w:widowControl/>
        <w:spacing w:line="276" w:lineRule="auto" w:after="120"/>
      </w:pPr>
      <w:r>
        <w:rPr>
          <w:rFonts w:ascii="Times New Roman" w:hAnsi="Times New Roman"/>
          <w:b w:val="0"/>
          <w:color w:val="000000"/>
          <w:sz w:val="24"/>
        </w:rPr>
        <w:t>Основной результат состоит в различии товарного и географического вкладов. В Корее переход от стоимостных долей 2017 года к долям 2024 года дает отрицательный товарный вклад в условную дисперсию. Географическое перераспределение частично компенсирует его в основной точечной оценке. Для Японии итоговое изменение меньше и чувствительнее к способу измерения роста. Снижение общего риска у обеих стран не установлено уверенно, поскольку соответствующие интервалы включают ноль.</w:t>
      </w:r>
    </w:p>
    <w:p>
      <w:pPr>
        <w:widowControl/>
        <w:spacing w:line="276" w:lineRule="auto" w:after="120"/>
      </w:pPr>
      <w:r>
        <w:rPr>
          <w:rFonts w:ascii="Times New Roman" w:hAnsi="Times New Roman"/>
          <w:b w:val="0"/>
          <w:color w:val="000000"/>
          <w:sz w:val="24"/>
        </w:rPr>
        <w:t>Экономический смысл вопроса связан с устройством отрасли. Разные категории интегральных схем имеют неодинаковую географию продаж и характер колебаний. Кроме того, поставки на несколько рынков могут одновременно реагировать на один отраслевой цикл. В этом случае более равномерное распределение экспортной стоимости по направлениям не обязательно дает сопоставимое уменьшение волатильности.</w:t>
      </w:r>
    </w:p>
    <w:p>
      <w:pPr>
        <w:widowControl/>
        <w:spacing w:line="276" w:lineRule="auto" w:after="120"/>
      </w:pPr>
      <w:r>
        <w:rPr>
          <w:rFonts w:ascii="Times New Roman" w:hAnsi="Times New Roman"/>
          <w:b w:val="0"/>
          <w:color w:val="000000"/>
          <w:sz w:val="24"/>
        </w:rPr>
        <w:t>Цель исследования — разделить вклад изменения товарных долей и географии внутри товарных категорий в изменение условной волатильности экспорта. Для этого сопоставляются концентрация направлений, четыре сочетания товарной и географической структуры, источники изменения дисперсии и устойчивость выводов к альтернативным расчетам. Знак результата заранее не задавался.</w:t>
      </w:r>
    </w:p>
    <w:p>
      <w:pPr>
        <w:widowControl/>
        <w:spacing w:line="276" w:lineRule="auto" w:after="120"/>
      </w:pPr>
      <w:r>
        <w:rPr>
          <w:rFonts w:ascii="Times New Roman" w:hAnsi="Times New Roman"/>
          <w:b w:val="0"/>
          <w:color w:val="000000"/>
          <w:sz w:val="24"/>
        </w:rPr>
        <w:t>Основное сравнение относится к структурам 2017 и 2024 годов. Каждая структура оценивается на одной и той же истории колебаний 2018–2024 годов. Поэтому полученные показатели характеризуют расчетные индексы с фиксированными долями, а не фактическую волатильность двух отдельно взятых лет.</w:t>
      </w:r>
    </w:p>
    <w:p>
      <w:pPr>
        <w:pStyle w:val="Heading1"/>
        <w:widowControl/>
        <w:spacing w:line="276" w:lineRule="auto" w:after="120"/>
      </w:pPr>
      <w:r>
        <w:rPr>
          <w:rFonts w:ascii="Times New Roman" w:hAnsi="Times New Roman"/>
          <w:b/>
          <w:color w:val="000000"/>
          <w:sz w:val="24"/>
        </w:rPr>
        <w:t>2 Связь с существующими исследованиями</w:t>
      </w:r>
    </w:p>
    <w:p>
      <w:pPr>
        <w:widowControl/>
        <w:spacing w:line="276" w:lineRule="auto" w:after="120"/>
      </w:pPr>
      <w:r>
        <w:rPr>
          <w:rFonts w:ascii="Times New Roman" w:hAnsi="Times New Roman"/>
          <w:b w:val="0"/>
          <w:color w:val="000000"/>
          <w:sz w:val="24"/>
        </w:rPr>
        <w:t>Теоретическая основа работы — учет риска экспортного портфеля. Значение имеют не только размеры отдельных направлений, но и совместное движение потоков. Esposito рассматривает пространственную корреляцию спроса и диверсификацию международной торговли [5]. В моей работе используется эта общая экономическая логика, однако по агрегированным таможенным отгрузкам не восстанавливаются экзогенные шоки спроса.</w:t>
      </w:r>
    </w:p>
    <w:p>
      <w:pPr>
        <w:widowControl/>
        <w:spacing w:line="276" w:lineRule="auto" w:after="120"/>
      </w:pPr>
      <w:r>
        <w:rPr>
          <w:rFonts w:ascii="Times New Roman" w:hAnsi="Times New Roman"/>
          <w:b w:val="0"/>
          <w:color w:val="000000"/>
          <w:sz w:val="24"/>
        </w:rPr>
        <w:t>Vannoorenberghe, Wang и Yu показывают неоднозначность связи диверсификации и волатильности на данных китайских фирм, обращая внимание на постоянные и эпизодические рынки [6]. Для моего расчета это особенно существенно при обработке нулевых потоков и появлении новых направлений. Работа Barigozzi и соавторов посвящена факторному разложению волатильности французских экспортных транзакций [7]. Следовательно, разложение риска и использование ковариаций сами по себе не являются новой методикой.</w:t>
      </w:r>
    </w:p>
    <w:p>
      <w:pPr>
        <w:widowControl/>
        <w:spacing w:line="276" w:lineRule="auto" w:after="120"/>
      </w:pPr>
      <w:r>
        <w:rPr>
          <w:rFonts w:ascii="Times New Roman" w:hAnsi="Times New Roman"/>
          <w:b w:val="0"/>
          <w:color w:val="000000"/>
          <w:sz w:val="24"/>
        </w:rPr>
        <w:t>Корейская диверсификация также имеет прямых предшественников. Lee и Yu исследуют товарную и географическую диверсификацию и макроэкономическую стабилизацию на данных обрабатывающих отраслей Кореи [8]. KDI связывает колебания полупроводникового экспорта с памятью и рассматривает сценарий иной товарной структуры [9]. Bank of Korea сопоставляет волатильность Кореи, Японии и других экономик, а также различает промежуточные направления отгрузок и конечный спрос [10]. Роль памяти в устойчивости корейской отрасли поэтому рассматривается как известный механизм, который уточняется количественно.</w:t>
      </w:r>
    </w:p>
    <w:p>
      <w:pPr>
        <w:widowControl/>
        <w:spacing w:line="276" w:lineRule="auto" w:after="120"/>
      </w:pPr>
      <w:r>
        <w:rPr>
          <w:rFonts w:ascii="Times New Roman" w:hAnsi="Times New Roman"/>
          <w:b w:val="0"/>
          <w:color w:val="000000"/>
          <w:sz w:val="24"/>
        </w:rPr>
        <w:t>По объекту исследования близки еще несколько работ. Kitetu, Mbante II и Ko уже сравнивают Японию и Корею по тем же пяти кодам HS6, используя показатели торговой конкурентоспособности [11]. Koo анализирует корейские потоки, концентрацию и направления поставок за 2015–2025 годы [12]. Kim и Lee применяют концентрационные, энтропийные и сетевые показатели к корейской полупроводниковой цепочке [13]. Выбор двух стран, базы Comtrade и показателя HHI не рассматривается как самостоятельная новизна.</w:t>
      </w:r>
    </w:p>
    <w:p>
      <w:pPr>
        <w:widowControl/>
        <w:spacing w:line="276" w:lineRule="auto" w:after="120"/>
      </w:pPr>
      <w:r>
        <w:rPr>
          <w:rFonts w:ascii="Times New Roman" w:hAnsi="Times New Roman"/>
          <w:b w:val="0"/>
          <w:color w:val="000000"/>
          <w:sz w:val="24"/>
        </w:rPr>
        <w:t>Отличие моей постановки — сопоставить концентрацию и условную волатильность одной структуры, отдельно заменить товарные доли и географию внутри HS6 и объяснить расхождение результатов через компоненты ковариации. Вклад имеет прикладной эмпирический характер. Он связан с конкретным изменением экспортной структуры, а не с разработкой нового универсального показателя устойчивости.</w:t>
      </w:r>
    </w:p>
    <w:p>
      <w:pPr>
        <w:pStyle w:val="Heading1"/>
        <w:widowControl/>
        <w:spacing w:line="276" w:lineRule="auto" w:after="120"/>
      </w:pPr>
      <w:r>
        <w:rPr>
          <w:rFonts w:ascii="Times New Roman" w:hAnsi="Times New Roman"/>
          <w:b/>
          <w:color w:val="000000"/>
          <w:sz w:val="24"/>
        </w:rPr>
        <w:t>3 Данные и товарные границы</w:t>
      </w:r>
    </w:p>
    <w:p>
      <w:pPr>
        <w:widowControl/>
        <w:spacing w:line="276" w:lineRule="auto" w:after="120"/>
      </w:pPr>
      <w:r>
        <w:rPr>
          <w:rFonts w:ascii="Times New Roman" w:hAnsi="Times New Roman"/>
          <w:b w:val="0"/>
          <w:color w:val="000000"/>
          <w:sz w:val="24"/>
        </w:rPr>
        <w:t>Основной источник — собственная статистика месячного экспорта Японии и Республики Корея в UN Comtrade [1]. Используется стоимость валовых отгрузок FOB в текущих долларах США. Период охватывает январь 2017 — декабрь 2024 года, то есть 96 месяцев для каждого экспортера. Исходные ответы и их параметры сохранены, поэтому расчеты можно повторить без новой сетевой выгрузки.</w:t>
      </w:r>
    </w:p>
    <w:p>
      <w:pPr>
        <w:widowControl/>
        <w:spacing w:line="276" w:lineRule="auto" w:after="120"/>
      </w:pPr>
      <w:r>
        <w:rPr>
          <w:rFonts w:ascii="Times New Roman" w:hAnsi="Times New Roman"/>
          <w:b w:val="0"/>
          <w:color w:val="000000"/>
          <w:sz w:val="24"/>
        </w:rPr>
        <w:t>Товарная граница — интегральные схемы. Основная оценка относится к четырем категориям готовых схем; части включены в отдельную проверку. Коды сопоставлены между редакциями HS2017 и HS2022 [2]. Оборудование для производства чипов, полупроводниковые пластины и дискретные приборы в основную совокупность не входят.</w:t>
      </w:r>
    </w:p>
    <w:p>
      <w:pPr>
        <w:keepNext/>
        <w:widowControl/>
        <w:spacing w:line="276" w:lineRule="auto" w:after="80" w:before="100"/>
      </w:pPr>
      <w:r>
        <w:rPr>
          <w:rFonts w:ascii="Times New Roman" w:hAnsi="Times New Roman"/>
          <w:b w:val="0"/>
          <w:color w:val="000000"/>
          <w:sz w:val="22"/>
        </w:rPr>
        <w:t>Таблица 1 Товарные категории исследования</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361"/>
        <w:gridCol w:w="3969"/>
        <w:gridCol w:w="4025"/>
      </w:tblGrid>
      <w:tr>
        <w:trPr>
          <w:tblHeader/>
          <w:cantSplit/>
        </w:trPr>
        <w:tc>
          <w:tcPr>
            <w:tcW w:type="dxa" w:w="1361"/>
            <w:vAlign w:val="center"/>
            <w:shd w:fill="FFFFFF" w:val="clear"/>
          </w:tcPr>
          <w:p>
            <w:pPr>
              <w:keepNext/>
              <w:widowControl/>
              <w:spacing w:line="240" w:lineRule="auto" w:before="40" w:after="40"/>
              <w:jc w:val="left"/>
            </w:pPr>
            <w:r>
              <w:rPr>
                <w:rFonts w:ascii="Times New Roman" w:hAnsi="Times New Roman"/>
                <w:b/>
                <w:color w:val="000000"/>
                <w:sz w:val="22"/>
              </w:rPr>
              <w:t>Код HS</w:t>
            </w:r>
          </w:p>
        </w:tc>
        <w:tc>
          <w:tcPr>
            <w:tcW w:type="dxa" w:w="3969"/>
            <w:vAlign w:val="center"/>
            <w:shd w:fill="FFFFFF" w:val="clear"/>
          </w:tcPr>
          <w:p>
            <w:pPr>
              <w:keepNext/>
              <w:widowControl/>
              <w:spacing w:line="240" w:lineRule="auto" w:before="40" w:after="40"/>
              <w:jc w:val="center"/>
            </w:pPr>
            <w:r>
              <w:rPr>
                <w:rFonts w:ascii="Times New Roman" w:hAnsi="Times New Roman"/>
                <w:b/>
                <w:color w:val="000000"/>
                <w:sz w:val="22"/>
              </w:rPr>
              <w:t>Категория</w:t>
            </w:r>
          </w:p>
        </w:tc>
        <w:tc>
          <w:tcPr>
            <w:tcW w:type="dxa" w:w="4025"/>
            <w:vAlign w:val="center"/>
            <w:shd w:fill="FFFFFF" w:val="clear"/>
          </w:tcPr>
          <w:p>
            <w:pPr>
              <w:keepNext/>
              <w:widowControl/>
              <w:spacing w:line="240" w:lineRule="auto" w:before="40" w:after="40"/>
              <w:jc w:val="center"/>
            </w:pPr>
            <w:r>
              <w:rPr>
                <w:rFonts w:ascii="Times New Roman" w:hAnsi="Times New Roman"/>
                <w:b/>
                <w:color w:val="000000"/>
                <w:sz w:val="22"/>
              </w:rPr>
              <w:t>Использование</w:t>
            </w:r>
          </w:p>
        </w:tc>
      </w:tr>
      <w:tr>
        <w:trPr>
          <w:cantSplit/>
        </w:trPr>
        <w:tc>
          <w:tcPr>
            <w:tcW w:type="dxa" w:w="1361"/>
            <w:vAlign w:val="center"/>
            <w:shd w:fill="FFFFFF" w:val="clear"/>
          </w:tcPr>
          <w:p>
            <w:pPr>
              <w:keepNext/>
              <w:widowControl/>
              <w:spacing w:line="240" w:lineRule="auto" w:before="40" w:after="40"/>
              <w:jc w:val="left"/>
            </w:pPr>
            <w:r>
              <w:rPr>
                <w:rFonts w:ascii="Times New Roman" w:hAnsi="Times New Roman"/>
                <w:b w:val="0"/>
                <w:color w:val="000000"/>
                <w:sz w:val="22"/>
              </w:rPr>
              <w:t>854231</w:t>
            </w:r>
          </w:p>
        </w:tc>
        <w:tc>
          <w:tcPr>
            <w:tcW w:type="dxa" w:w="3969"/>
            <w:vAlign w:val="center"/>
            <w:shd w:fill="FFFFFF" w:val="clear"/>
          </w:tcPr>
          <w:p>
            <w:pPr>
              <w:keepNext/>
              <w:widowControl/>
              <w:spacing w:line="240" w:lineRule="auto" w:before="40" w:after="40"/>
              <w:jc w:val="center"/>
            </w:pPr>
            <w:r>
              <w:rPr>
                <w:rFonts w:ascii="Times New Roman" w:hAnsi="Times New Roman"/>
                <w:b w:val="0"/>
                <w:color w:val="000000"/>
                <w:sz w:val="22"/>
              </w:rPr>
              <w:t>Процессоры и контроллеры</w:t>
            </w:r>
          </w:p>
        </w:tc>
        <w:tc>
          <w:tcPr>
            <w:tcW w:type="dxa" w:w="4025"/>
            <w:vAlign w:val="center"/>
            <w:shd w:fill="FFFFFF" w:val="clear"/>
          </w:tcPr>
          <w:p>
            <w:pPr>
              <w:keepNext/>
              <w:widowControl/>
              <w:spacing w:line="240" w:lineRule="auto" w:before="40" w:after="40"/>
              <w:jc w:val="center"/>
            </w:pPr>
            <w:r>
              <w:rPr>
                <w:rFonts w:ascii="Times New Roman" w:hAnsi="Times New Roman"/>
                <w:b w:val="0"/>
                <w:color w:val="000000"/>
                <w:sz w:val="22"/>
              </w:rPr>
              <w:t>Основная оценка</w:t>
            </w:r>
          </w:p>
        </w:tc>
      </w:tr>
      <w:tr>
        <w:trPr>
          <w:cantSplit/>
        </w:trPr>
        <w:tc>
          <w:tcPr>
            <w:tcW w:type="dxa" w:w="1361"/>
            <w:vAlign w:val="center"/>
            <w:shd w:fill="FFFFFF" w:val="clear"/>
          </w:tcPr>
          <w:p>
            <w:pPr>
              <w:keepNext/>
              <w:widowControl/>
              <w:spacing w:line="240" w:lineRule="auto" w:before="40" w:after="40"/>
              <w:jc w:val="left"/>
            </w:pPr>
            <w:r>
              <w:rPr>
                <w:rFonts w:ascii="Times New Roman" w:hAnsi="Times New Roman"/>
                <w:b w:val="0"/>
                <w:color w:val="000000"/>
                <w:sz w:val="22"/>
              </w:rPr>
              <w:t>854232</w:t>
            </w:r>
          </w:p>
        </w:tc>
        <w:tc>
          <w:tcPr>
            <w:tcW w:type="dxa" w:w="3969"/>
            <w:vAlign w:val="center"/>
            <w:shd w:fill="FFFFFF" w:val="clear"/>
          </w:tcPr>
          <w:p>
            <w:pPr>
              <w:keepNext/>
              <w:widowControl/>
              <w:spacing w:line="240" w:lineRule="auto" w:before="40" w:after="40"/>
              <w:jc w:val="center"/>
            </w:pPr>
            <w:r>
              <w:rPr>
                <w:rFonts w:ascii="Times New Roman" w:hAnsi="Times New Roman"/>
                <w:b w:val="0"/>
                <w:color w:val="000000"/>
                <w:sz w:val="22"/>
              </w:rPr>
              <w:t>Память</w:t>
            </w:r>
          </w:p>
        </w:tc>
        <w:tc>
          <w:tcPr>
            <w:tcW w:type="dxa" w:w="4025"/>
            <w:vAlign w:val="center"/>
            <w:shd w:fill="FFFFFF" w:val="clear"/>
          </w:tcPr>
          <w:p>
            <w:pPr>
              <w:keepNext/>
              <w:widowControl/>
              <w:spacing w:line="240" w:lineRule="auto" w:before="40" w:after="40"/>
              <w:jc w:val="center"/>
            </w:pPr>
            <w:r>
              <w:rPr>
                <w:rFonts w:ascii="Times New Roman" w:hAnsi="Times New Roman"/>
                <w:b w:val="0"/>
                <w:color w:val="000000"/>
                <w:sz w:val="22"/>
              </w:rPr>
              <w:t>Основная оценка</w:t>
            </w:r>
          </w:p>
        </w:tc>
      </w:tr>
      <w:tr>
        <w:trPr>
          <w:cantSplit/>
        </w:trPr>
        <w:tc>
          <w:tcPr>
            <w:tcW w:type="dxa" w:w="1361"/>
            <w:vAlign w:val="center"/>
            <w:shd w:fill="FFFFFF" w:val="clear"/>
          </w:tcPr>
          <w:p>
            <w:pPr>
              <w:keepNext/>
              <w:widowControl/>
              <w:spacing w:line="240" w:lineRule="auto" w:before="40" w:after="40"/>
              <w:jc w:val="left"/>
            </w:pPr>
            <w:r>
              <w:rPr>
                <w:rFonts w:ascii="Times New Roman" w:hAnsi="Times New Roman"/>
                <w:b w:val="0"/>
                <w:color w:val="000000"/>
                <w:sz w:val="22"/>
              </w:rPr>
              <w:t>854233</w:t>
            </w:r>
          </w:p>
        </w:tc>
        <w:tc>
          <w:tcPr>
            <w:tcW w:type="dxa" w:w="3969"/>
            <w:vAlign w:val="center"/>
            <w:shd w:fill="FFFFFF" w:val="clear"/>
          </w:tcPr>
          <w:p>
            <w:pPr>
              <w:keepNext/>
              <w:widowControl/>
              <w:spacing w:line="240" w:lineRule="auto" w:before="40" w:after="40"/>
              <w:jc w:val="center"/>
            </w:pPr>
            <w:r>
              <w:rPr>
                <w:rFonts w:ascii="Times New Roman" w:hAnsi="Times New Roman"/>
                <w:b w:val="0"/>
                <w:color w:val="000000"/>
                <w:sz w:val="22"/>
              </w:rPr>
              <w:t>Усилители</w:t>
            </w:r>
          </w:p>
        </w:tc>
        <w:tc>
          <w:tcPr>
            <w:tcW w:type="dxa" w:w="4025"/>
            <w:vAlign w:val="center"/>
            <w:shd w:fill="FFFFFF" w:val="clear"/>
          </w:tcPr>
          <w:p>
            <w:pPr>
              <w:keepNext/>
              <w:widowControl/>
              <w:spacing w:line="240" w:lineRule="auto" w:before="40" w:after="40"/>
              <w:jc w:val="center"/>
            </w:pPr>
            <w:r>
              <w:rPr>
                <w:rFonts w:ascii="Times New Roman" w:hAnsi="Times New Roman"/>
                <w:b w:val="0"/>
                <w:color w:val="000000"/>
                <w:sz w:val="22"/>
              </w:rPr>
              <w:t>Основная оценка</w:t>
            </w:r>
          </w:p>
        </w:tc>
      </w:tr>
      <w:tr>
        <w:trPr>
          <w:cantSplit/>
        </w:trPr>
        <w:tc>
          <w:tcPr>
            <w:tcW w:type="dxa" w:w="1361"/>
            <w:vAlign w:val="center"/>
            <w:shd w:fill="FFFFFF" w:val="clear"/>
          </w:tcPr>
          <w:p>
            <w:pPr>
              <w:keepNext/>
              <w:widowControl/>
              <w:spacing w:line="240" w:lineRule="auto" w:before="40" w:after="40"/>
              <w:jc w:val="left"/>
            </w:pPr>
            <w:r>
              <w:rPr>
                <w:rFonts w:ascii="Times New Roman" w:hAnsi="Times New Roman"/>
                <w:b w:val="0"/>
                <w:color w:val="000000"/>
                <w:sz w:val="22"/>
              </w:rPr>
              <w:t>854239</w:t>
            </w:r>
          </w:p>
        </w:tc>
        <w:tc>
          <w:tcPr>
            <w:tcW w:type="dxa" w:w="3969"/>
            <w:vAlign w:val="center"/>
            <w:shd w:fill="FFFFFF" w:val="clear"/>
          </w:tcPr>
          <w:p>
            <w:pPr>
              <w:keepNext/>
              <w:widowControl/>
              <w:spacing w:line="240" w:lineRule="auto" w:before="40" w:after="40"/>
              <w:jc w:val="center"/>
            </w:pPr>
            <w:r>
              <w:rPr>
                <w:rFonts w:ascii="Times New Roman" w:hAnsi="Times New Roman"/>
                <w:b w:val="0"/>
                <w:color w:val="000000"/>
                <w:sz w:val="22"/>
              </w:rPr>
              <w:t>Прочие интегральные схемы</w:t>
            </w:r>
          </w:p>
        </w:tc>
        <w:tc>
          <w:tcPr>
            <w:tcW w:type="dxa" w:w="4025"/>
            <w:vAlign w:val="center"/>
            <w:shd w:fill="FFFFFF" w:val="clear"/>
          </w:tcPr>
          <w:p>
            <w:pPr>
              <w:keepNext/>
              <w:widowControl/>
              <w:spacing w:line="240" w:lineRule="auto" w:before="40" w:after="40"/>
              <w:jc w:val="center"/>
            </w:pPr>
            <w:r>
              <w:rPr>
                <w:rFonts w:ascii="Times New Roman" w:hAnsi="Times New Roman"/>
                <w:b w:val="0"/>
                <w:color w:val="000000"/>
                <w:sz w:val="22"/>
              </w:rPr>
              <w:t>Основная оценка</w:t>
            </w:r>
          </w:p>
        </w:tc>
      </w:tr>
      <w:tr>
        <w:trPr>
          <w:cantSplit/>
        </w:trPr>
        <w:tc>
          <w:tcPr>
            <w:tcW w:type="dxa" w:w="1361"/>
            <w:vAlign w:val="center"/>
            <w:shd w:fill="FFFFFF" w:val="clear"/>
          </w:tcPr>
          <w:p>
            <w:pPr>
              <w:keepNext/>
              <w:widowControl/>
              <w:spacing w:line="240" w:lineRule="auto" w:before="40" w:after="40"/>
              <w:jc w:val="left"/>
            </w:pPr>
            <w:r>
              <w:rPr>
                <w:rFonts w:ascii="Times New Roman" w:hAnsi="Times New Roman"/>
                <w:b w:val="0"/>
                <w:color w:val="000000"/>
                <w:sz w:val="22"/>
              </w:rPr>
              <w:t>854290</w:t>
            </w:r>
          </w:p>
        </w:tc>
        <w:tc>
          <w:tcPr>
            <w:tcW w:type="dxa" w:w="3969"/>
            <w:vAlign w:val="center"/>
            <w:shd w:fill="FFFFFF" w:val="clear"/>
          </w:tcPr>
          <w:p>
            <w:pPr>
              <w:keepNext/>
              <w:widowControl/>
              <w:spacing w:line="240" w:lineRule="auto" w:before="40" w:after="40"/>
              <w:jc w:val="center"/>
            </w:pPr>
            <w:r>
              <w:rPr>
                <w:rFonts w:ascii="Times New Roman" w:hAnsi="Times New Roman"/>
                <w:b w:val="0"/>
                <w:color w:val="000000"/>
                <w:sz w:val="22"/>
              </w:rPr>
              <w:t>Части</w:t>
            </w:r>
          </w:p>
        </w:tc>
        <w:tc>
          <w:tcPr>
            <w:tcW w:type="dxa" w:w="4025"/>
            <w:vAlign w:val="center"/>
            <w:shd w:fill="FFFFFF" w:val="clear"/>
          </w:tcPr>
          <w:p>
            <w:pPr>
              <w:keepNext/>
              <w:widowControl/>
              <w:spacing w:line="240" w:lineRule="auto" w:before="40" w:after="40"/>
              <w:jc w:val="center"/>
            </w:pPr>
            <w:r>
              <w:rPr>
                <w:rFonts w:ascii="Times New Roman" w:hAnsi="Times New Roman"/>
                <w:b w:val="0"/>
                <w:color w:val="000000"/>
                <w:sz w:val="22"/>
              </w:rPr>
              <w:t>Отдельная проверка</w:t>
            </w:r>
          </w:p>
        </w:tc>
      </w:tr>
      <w:tr>
        <w:trPr>
          <w:cantSplit/>
        </w:trPr>
        <w:tc>
          <w:tcPr>
            <w:tcW w:type="dxa" w:w="1361"/>
            <w:vAlign w:val="center"/>
            <w:shd w:fill="FFFFFF" w:val="clear"/>
          </w:tcPr>
          <w:p>
            <w:pPr>
              <w:keepNext/>
              <w:widowControl/>
              <w:spacing w:line="240" w:lineRule="auto" w:before="40" w:after="40"/>
              <w:jc w:val="left"/>
            </w:pPr>
            <w:r>
              <w:rPr>
                <w:rFonts w:ascii="Times New Roman" w:hAnsi="Times New Roman"/>
                <w:b w:val="0"/>
                <w:color w:val="000000"/>
                <w:sz w:val="22"/>
              </w:rPr>
              <w:t>8542</w:t>
            </w:r>
          </w:p>
        </w:tc>
        <w:tc>
          <w:tcPr>
            <w:tcW w:type="dxa" w:w="3969"/>
            <w:vAlign w:val="center"/>
            <w:shd w:fill="FFFFFF" w:val="clear"/>
          </w:tcPr>
          <w:p>
            <w:pPr>
              <w:keepNext/>
              <w:widowControl/>
              <w:spacing w:line="240" w:lineRule="auto" w:before="40" w:after="40"/>
              <w:jc w:val="center"/>
            </w:pPr>
            <w:r>
              <w:rPr>
                <w:rFonts w:ascii="Times New Roman" w:hAnsi="Times New Roman"/>
                <w:b w:val="0"/>
                <w:color w:val="000000"/>
                <w:sz w:val="22"/>
              </w:rPr>
              <w:t>Интегральные схемы и части</w:t>
            </w:r>
          </w:p>
        </w:tc>
        <w:tc>
          <w:tcPr>
            <w:tcW w:type="dxa" w:w="4025"/>
            <w:vAlign w:val="center"/>
            <w:shd w:fill="FFFFFF" w:val="clear"/>
          </w:tcPr>
          <w:p>
            <w:pPr>
              <w:keepNext/>
              <w:widowControl/>
              <w:spacing w:line="240" w:lineRule="auto" w:before="40" w:after="40"/>
              <w:jc w:val="center"/>
            </w:pPr>
            <w:r>
              <w:rPr>
                <w:rFonts w:ascii="Times New Roman" w:hAnsi="Times New Roman"/>
                <w:b w:val="0"/>
                <w:color w:val="000000"/>
                <w:sz w:val="22"/>
              </w:rPr>
              <w:t>Контроль суммы пяти HS6</w:t>
            </w:r>
          </w:p>
        </w:tc>
      </w:tr>
    </w:tbl>
    <w:p>
      <w:pPr>
        <w:widowControl/>
        <w:spacing w:line="240" w:lineRule="auto" w:after="140" w:before="80"/>
      </w:pPr>
      <w:r>
        <w:rPr>
          <w:rFonts w:ascii="Times New Roman" w:hAnsi="Times New Roman"/>
          <w:b w:val="0"/>
          <w:color w:val="000000"/>
          <w:sz w:val="20"/>
        </w:rPr>
        <w:t>Источник: UN Comtrade и номенклатура HS. Основной риск оценивается для четырех категорий готовых схем.</w:t>
      </w:r>
    </w:p>
    <w:p>
      <w:pPr>
        <w:widowControl/>
        <w:spacing w:line="276" w:lineRule="auto" w:after="120"/>
      </w:pPr>
      <w:r>
        <w:rPr>
          <w:rFonts w:ascii="Times New Roman" w:hAnsi="Times New Roman"/>
          <w:b w:val="0"/>
          <w:color w:val="000000"/>
          <w:sz w:val="24"/>
        </w:rPr>
        <w:t>Для контроля полноты проверены 1 152 логические ячейки «экспортер — месяц — код»: две страны, 96 месяцев и шесть кодов с учетом пяти HS6 и контрольного HS8542. Все ячейки основной панели получены. Проверены уникальность ключей, неотрицательность стоимости, сумма направлений относительно World и сумма пяти HS6 относительно HS8542. Все 192 месячные проверки товарных сумм и 10 788 проверок по направлениям пройдены.</w:t>
      </w:r>
    </w:p>
    <w:p>
      <w:pPr>
        <w:widowControl/>
        <w:spacing w:line="276" w:lineRule="auto" w:after="120"/>
      </w:pPr>
      <w:r>
        <w:rPr>
          <w:rFonts w:ascii="Times New Roman" w:hAnsi="Times New Roman"/>
          <w:b w:val="0"/>
          <w:color w:val="000000"/>
          <w:sz w:val="24"/>
        </w:rPr>
        <w:t>Строка World используется только для контроля и исключается из сумм по направлениям. Отсутствие конкретного направления в проверенном полном ответе означает нулевой поток. Неполученный запрос или ошибочный ответ нулем не заменяется. Основная модель рассчитывается только после прохождения контроля полноты.</w:t>
      </w:r>
    </w:p>
    <w:p>
      <w:pPr>
        <w:widowControl/>
        <w:spacing w:line="276" w:lineRule="auto" w:after="120"/>
      </w:pPr>
      <w:r>
        <w:rPr>
          <w:rFonts w:ascii="Times New Roman" w:hAnsi="Times New Roman"/>
          <w:b w:val="0"/>
          <w:color w:val="000000"/>
          <w:sz w:val="24"/>
        </w:rPr>
        <w:t>Годовые доли внутри месячного исследования построены из суммы тех же месячных значений. Они могут отличаться от отдельно опубликованных годовых данных Comtrade вследствие процедур обновления и пересмотра [3]. В сохраненном сопоставлении максимальное относительное расхождение составляет около 0,79%. Данные не масштабировались для искусственного совпадения сумм.</w:t>
      </w:r>
    </w:p>
    <w:p>
      <w:pPr>
        <w:widowControl/>
        <w:spacing w:line="276" w:lineRule="auto" w:after="120"/>
      </w:pPr>
      <w:r>
        <w:rPr>
          <w:rFonts w:ascii="Times New Roman" w:hAnsi="Times New Roman"/>
          <w:b w:val="0"/>
          <w:color w:val="000000"/>
          <w:sz w:val="24"/>
        </w:rPr>
        <w:t>В первоначальном годовом пилоте использовались все пять HS6. Приводимые далее основные показатели относятся к четырем видам готовых схем. Поэтому они не должны механически сопоставляться с ранее полученными долями и HHI для всей группы с частями. 2025 год в основное исследование не включен.</w:t>
      </w:r>
    </w:p>
    <w:p>
      <w:pPr>
        <w:keepNext/>
        <w:widowControl/>
        <w:spacing w:line="276" w:lineRule="auto" w:after="80" w:before="100"/>
      </w:pPr>
      <w:r>
        <w:rPr>
          <w:rFonts w:ascii="Times New Roman" w:hAnsi="Times New Roman"/>
          <w:b w:val="0"/>
          <w:color w:val="000000"/>
          <w:sz w:val="22"/>
        </w:rPr>
        <w:t>Таблица 2 Стоимость экспорта и показатели его товарной и географической структуры</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984"/>
        <w:gridCol w:w="680"/>
        <w:gridCol w:w="2211"/>
        <w:gridCol w:w="2041"/>
        <w:gridCol w:w="2438"/>
      </w:tblGrid>
      <w:tr>
        <w:trPr>
          <w:tblHeader/>
          <w:cantSplit/>
        </w:trPr>
        <w:tc>
          <w:tcPr>
            <w:tcW w:type="dxa" w:w="1984"/>
            <w:vAlign w:val="center"/>
            <w:shd w:fill="FFFFFF" w:val="clear"/>
          </w:tcPr>
          <w:p>
            <w:pPr>
              <w:keepNext/>
              <w:widowControl/>
              <w:spacing w:line="240" w:lineRule="auto" w:before="40" w:after="40"/>
              <w:jc w:val="left"/>
            </w:pPr>
            <w:r>
              <w:rPr>
                <w:rFonts w:ascii="Times New Roman" w:hAnsi="Times New Roman"/>
                <w:b/>
                <w:color w:val="000000"/>
                <w:sz w:val="22"/>
              </w:rPr>
              <w:t>Экспортер</w:t>
            </w:r>
          </w:p>
        </w:tc>
        <w:tc>
          <w:tcPr>
            <w:tcW w:type="dxa" w:w="680"/>
            <w:vAlign w:val="center"/>
            <w:shd w:fill="FFFFFF" w:val="clear"/>
          </w:tcPr>
          <w:p>
            <w:pPr>
              <w:keepNext/>
              <w:widowControl/>
              <w:spacing w:line="240" w:lineRule="auto" w:before="40" w:after="40"/>
              <w:jc w:val="center"/>
            </w:pPr>
            <w:r>
              <w:rPr>
                <w:rFonts w:ascii="Times New Roman" w:hAnsi="Times New Roman"/>
                <w:b/>
                <w:color w:val="000000"/>
                <w:sz w:val="22"/>
              </w:rPr>
              <w:t>Год</w:t>
            </w:r>
          </w:p>
        </w:tc>
        <w:tc>
          <w:tcPr>
            <w:tcW w:type="dxa" w:w="2211"/>
            <w:vAlign w:val="center"/>
            <w:shd w:fill="FFFFFF" w:val="clear"/>
          </w:tcPr>
          <w:p>
            <w:pPr>
              <w:keepNext/>
              <w:widowControl/>
              <w:spacing w:line="240" w:lineRule="auto" w:before="40" w:after="40"/>
              <w:jc w:val="center"/>
            </w:pPr>
            <w:r>
              <w:rPr>
                <w:rFonts w:ascii="Times New Roman" w:hAnsi="Times New Roman"/>
                <w:b/>
                <w:color w:val="000000"/>
                <w:sz w:val="22"/>
              </w:rPr>
              <w:t>Экспорт, млрд долл.</w:t>
            </w:r>
          </w:p>
        </w:tc>
        <w:tc>
          <w:tcPr>
            <w:tcW w:type="dxa" w:w="2041"/>
            <w:vAlign w:val="center"/>
            <w:shd w:fill="FFFFFF" w:val="clear"/>
          </w:tcPr>
          <w:p>
            <w:pPr>
              <w:keepNext/>
              <w:widowControl/>
              <w:spacing w:line="240" w:lineRule="auto" w:before="40" w:after="40"/>
              <w:jc w:val="center"/>
            </w:pPr>
            <w:r>
              <w:rPr>
                <w:rFonts w:ascii="Times New Roman" w:hAnsi="Times New Roman"/>
                <w:b/>
                <w:color w:val="000000"/>
                <w:sz w:val="22"/>
              </w:rPr>
              <w:t>Память, %</w:t>
            </w:r>
          </w:p>
        </w:tc>
        <w:tc>
          <w:tcPr>
            <w:tcW w:type="dxa" w:w="2438"/>
            <w:vAlign w:val="center"/>
            <w:shd w:fill="FFFFFF" w:val="clear"/>
          </w:tcPr>
          <w:p>
            <w:pPr>
              <w:keepNext/>
              <w:widowControl/>
              <w:spacing w:line="240" w:lineRule="auto" w:before="40" w:after="40"/>
              <w:jc w:val="center"/>
            </w:pPr>
            <w:r>
              <w:rPr>
                <w:rFonts w:ascii="Times New Roman" w:hAnsi="Times New Roman"/>
                <w:b/>
                <w:color w:val="000000"/>
                <w:sz w:val="22"/>
              </w:rPr>
              <w:t>HHI</w:t>
            </w:r>
          </w:p>
        </w:tc>
      </w:tr>
      <w:tr>
        <w:trPr>
          <w:cantSplit/>
        </w:trPr>
        <w:tc>
          <w:tcPr>
            <w:tcW w:type="dxa" w:w="1984"/>
            <w:vAlign w:val="center"/>
            <w:shd w:fill="FFFFFF" w:val="clear"/>
          </w:tcPr>
          <w:p>
            <w:pPr>
              <w:keepNext/>
              <w:widowControl/>
              <w:spacing w:line="240" w:lineRule="auto" w:before="40" w:after="40"/>
              <w:jc w:val="left"/>
            </w:pPr>
            <w:r>
              <w:rPr>
                <w:rFonts w:ascii="Times New Roman" w:hAnsi="Times New Roman"/>
                <w:b w:val="0"/>
                <w:color w:val="000000"/>
                <w:sz w:val="22"/>
              </w:rPr>
              <w:t>Япония</w:t>
            </w:r>
          </w:p>
        </w:tc>
        <w:tc>
          <w:tcPr>
            <w:tcW w:type="dxa" w:w="680"/>
            <w:vAlign w:val="center"/>
            <w:shd w:fill="FFFFFF" w:val="clear"/>
          </w:tcPr>
          <w:p>
            <w:pPr>
              <w:keepNext/>
              <w:widowControl/>
              <w:spacing w:line="240" w:lineRule="auto" w:before="40" w:after="40"/>
              <w:jc w:val="center"/>
            </w:pPr>
            <w:r>
              <w:rPr>
                <w:rFonts w:ascii="Times New Roman" w:hAnsi="Times New Roman"/>
                <w:b w:val="0"/>
                <w:color w:val="000000"/>
                <w:sz w:val="22"/>
              </w:rPr>
              <w:t>2017</w:t>
            </w:r>
          </w:p>
        </w:tc>
        <w:tc>
          <w:tcPr>
            <w:tcW w:type="dxa" w:w="2211"/>
            <w:vAlign w:val="center"/>
            <w:shd w:fill="FFFFFF" w:val="clear"/>
          </w:tcPr>
          <w:p>
            <w:pPr>
              <w:keepNext/>
              <w:widowControl/>
              <w:spacing w:line="240" w:lineRule="auto" w:before="40" w:after="40"/>
              <w:jc w:val="center"/>
            </w:pPr>
            <w:r>
              <w:rPr>
                <w:rFonts w:ascii="Times New Roman" w:hAnsi="Times New Roman"/>
                <w:b w:val="0"/>
                <w:color w:val="000000"/>
                <w:sz w:val="22"/>
              </w:rPr>
              <w:t>24,99</w:t>
            </w:r>
          </w:p>
        </w:tc>
        <w:tc>
          <w:tcPr>
            <w:tcW w:type="dxa" w:w="2041"/>
            <w:vAlign w:val="center"/>
            <w:shd w:fill="FFFFFF" w:val="clear"/>
          </w:tcPr>
          <w:p>
            <w:pPr>
              <w:keepNext/>
              <w:widowControl/>
              <w:spacing w:line="240" w:lineRule="auto" w:before="40" w:after="40"/>
              <w:jc w:val="center"/>
            </w:pPr>
            <w:r>
              <w:rPr>
                <w:rFonts w:ascii="Times New Roman" w:hAnsi="Times New Roman"/>
                <w:b w:val="0"/>
                <w:color w:val="000000"/>
                <w:sz w:val="22"/>
              </w:rPr>
              <w:t>38,98</w:t>
            </w:r>
          </w:p>
        </w:tc>
        <w:tc>
          <w:tcPr>
            <w:tcW w:type="dxa" w:w="2438"/>
            <w:vAlign w:val="center"/>
            <w:shd w:fill="FFFFFF" w:val="clear"/>
          </w:tcPr>
          <w:p>
            <w:pPr>
              <w:keepNext/>
              <w:widowControl/>
              <w:spacing w:line="240" w:lineRule="auto" w:before="40" w:after="40"/>
              <w:jc w:val="center"/>
            </w:pPr>
            <w:r>
              <w:rPr>
                <w:rFonts w:ascii="Times New Roman" w:hAnsi="Times New Roman"/>
                <w:b w:val="0"/>
                <w:color w:val="000000"/>
                <w:sz w:val="22"/>
              </w:rPr>
              <w:t>0,158657</w:t>
            </w:r>
          </w:p>
        </w:tc>
      </w:tr>
      <w:tr>
        <w:trPr>
          <w:cantSplit/>
        </w:trPr>
        <w:tc>
          <w:tcPr>
            <w:tcW w:type="dxa" w:w="1984"/>
            <w:vAlign w:val="center"/>
            <w:shd w:fill="FFFFFF" w:val="clear"/>
          </w:tcPr>
          <w:p>
            <w:pPr>
              <w:keepNext/>
              <w:widowControl/>
              <w:spacing w:line="240" w:lineRule="auto" w:before="40" w:after="40"/>
              <w:jc w:val="left"/>
            </w:pPr>
            <w:r>
              <w:rPr>
                <w:rFonts w:ascii="Times New Roman" w:hAnsi="Times New Roman"/>
                <w:b w:val="0"/>
                <w:color w:val="000000"/>
                <w:sz w:val="22"/>
              </w:rPr>
              <w:t>Япония</w:t>
            </w:r>
          </w:p>
        </w:tc>
        <w:tc>
          <w:tcPr>
            <w:tcW w:type="dxa" w:w="680"/>
            <w:vAlign w:val="center"/>
            <w:shd w:fill="FFFFFF" w:val="clear"/>
          </w:tcPr>
          <w:p>
            <w:pPr>
              <w:keepNext/>
              <w:widowControl/>
              <w:spacing w:line="240" w:lineRule="auto" w:before="40" w:after="40"/>
              <w:jc w:val="center"/>
            </w:pPr>
            <w:r>
              <w:rPr>
                <w:rFonts w:ascii="Times New Roman" w:hAnsi="Times New Roman"/>
                <w:b w:val="0"/>
                <w:color w:val="000000"/>
                <w:sz w:val="22"/>
              </w:rPr>
              <w:t>2024</w:t>
            </w:r>
          </w:p>
        </w:tc>
        <w:tc>
          <w:tcPr>
            <w:tcW w:type="dxa" w:w="2211"/>
            <w:vAlign w:val="center"/>
            <w:shd w:fill="FFFFFF" w:val="clear"/>
          </w:tcPr>
          <w:p>
            <w:pPr>
              <w:keepNext/>
              <w:widowControl/>
              <w:spacing w:line="240" w:lineRule="auto" w:before="40" w:after="40"/>
              <w:jc w:val="center"/>
            </w:pPr>
            <w:r>
              <w:rPr>
                <w:rFonts w:ascii="Times New Roman" w:hAnsi="Times New Roman"/>
                <w:b w:val="0"/>
                <w:color w:val="000000"/>
                <w:sz w:val="22"/>
              </w:rPr>
              <w:t>30,38</w:t>
            </w:r>
          </w:p>
        </w:tc>
        <w:tc>
          <w:tcPr>
            <w:tcW w:type="dxa" w:w="2041"/>
            <w:vAlign w:val="center"/>
            <w:shd w:fill="FFFFFF" w:val="clear"/>
          </w:tcPr>
          <w:p>
            <w:pPr>
              <w:keepNext/>
              <w:widowControl/>
              <w:spacing w:line="240" w:lineRule="auto" w:before="40" w:after="40"/>
              <w:jc w:val="center"/>
            </w:pPr>
            <w:r>
              <w:rPr>
                <w:rFonts w:ascii="Times New Roman" w:hAnsi="Times New Roman"/>
                <w:b w:val="0"/>
                <w:color w:val="000000"/>
                <w:sz w:val="22"/>
              </w:rPr>
              <w:t>42,46</w:t>
            </w:r>
          </w:p>
        </w:tc>
        <w:tc>
          <w:tcPr>
            <w:tcW w:type="dxa" w:w="2438"/>
            <w:vAlign w:val="center"/>
            <w:shd w:fill="FFFFFF" w:val="clear"/>
          </w:tcPr>
          <w:p>
            <w:pPr>
              <w:keepNext/>
              <w:widowControl/>
              <w:spacing w:line="240" w:lineRule="auto" w:before="40" w:after="40"/>
              <w:jc w:val="center"/>
            </w:pPr>
            <w:r>
              <w:rPr>
                <w:rFonts w:ascii="Times New Roman" w:hAnsi="Times New Roman"/>
                <w:b w:val="0"/>
                <w:color w:val="000000"/>
                <w:sz w:val="22"/>
              </w:rPr>
              <w:t>0,154101</w:t>
            </w:r>
          </w:p>
        </w:tc>
      </w:tr>
      <w:tr>
        <w:trPr>
          <w:cantSplit/>
        </w:trPr>
        <w:tc>
          <w:tcPr>
            <w:tcW w:type="dxa" w:w="1984"/>
            <w:vAlign w:val="center"/>
            <w:shd w:fill="FFFFFF" w:val="clear"/>
          </w:tcPr>
          <w:p>
            <w:pPr>
              <w:keepNext/>
              <w:widowControl/>
              <w:spacing w:line="240" w:lineRule="auto" w:before="40" w:after="40"/>
              <w:jc w:val="left"/>
            </w:pPr>
            <w:r>
              <w:rPr>
                <w:rFonts w:ascii="Times New Roman" w:hAnsi="Times New Roman"/>
                <w:b w:val="0"/>
                <w:color w:val="000000"/>
                <w:sz w:val="22"/>
              </w:rPr>
              <w:t>Республика Корея</w:t>
            </w:r>
          </w:p>
        </w:tc>
        <w:tc>
          <w:tcPr>
            <w:tcW w:type="dxa" w:w="680"/>
            <w:vAlign w:val="center"/>
            <w:shd w:fill="FFFFFF" w:val="clear"/>
          </w:tcPr>
          <w:p>
            <w:pPr>
              <w:keepNext/>
              <w:widowControl/>
              <w:spacing w:line="240" w:lineRule="auto" w:before="40" w:after="40"/>
              <w:jc w:val="center"/>
            </w:pPr>
            <w:r>
              <w:rPr>
                <w:rFonts w:ascii="Times New Roman" w:hAnsi="Times New Roman"/>
                <w:b w:val="0"/>
                <w:color w:val="000000"/>
                <w:sz w:val="22"/>
              </w:rPr>
              <w:t>2017</w:t>
            </w:r>
          </w:p>
        </w:tc>
        <w:tc>
          <w:tcPr>
            <w:tcW w:type="dxa" w:w="2211"/>
            <w:vAlign w:val="center"/>
            <w:shd w:fill="FFFFFF" w:val="clear"/>
          </w:tcPr>
          <w:p>
            <w:pPr>
              <w:keepNext/>
              <w:widowControl/>
              <w:spacing w:line="240" w:lineRule="auto" w:before="40" w:after="40"/>
              <w:jc w:val="center"/>
            </w:pPr>
            <w:r>
              <w:rPr>
                <w:rFonts w:ascii="Times New Roman" w:hAnsi="Times New Roman"/>
                <w:b w:val="0"/>
                <w:color w:val="000000"/>
                <w:sz w:val="22"/>
              </w:rPr>
              <w:t>85,84</w:t>
            </w:r>
          </w:p>
        </w:tc>
        <w:tc>
          <w:tcPr>
            <w:tcW w:type="dxa" w:w="2041"/>
            <w:vAlign w:val="center"/>
            <w:shd w:fill="FFFFFF" w:val="clear"/>
          </w:tcPr>
          <w:p>
            <w:pPr>
              <w:keepNext/>
              <w:widowControl/>
              <w:spacing w:line="240" w:lineRule="auto" w:before="40" w:after="40"/>
              <w:jc w:val="center"/>
            </w:pPr>
            <w:r>
              <w:rPr>
                <w:rFonts w:ascii="Times New Roman" w:hAnsi="Times New Roman"/>
                <w:b w:val="0"/>
                <w:color w:val="000000"/>
                <w:sz w:val="22"/>
              </w:rPr>
              <w:t>70,49</w:t>
            </w:r>
          </w:p>
        </w:tc>
        <w:tc>
          <w:tcPr>
            <w:tcW w:type="dxa" w:w="2438"/>
            <w:vAlign w:val="center"/>
            <w:shd w:fill="FFFFFF" w:val="clear"/>
          </w:tcPr>
          <w:p>
            <w:pPr>
              <w:keepNext/>
              <w:widowControl/>
              <w:spacing w:line="240" w:lineRule="auto" w:before="40" w:after="40"/>
              <w:jc w:val="center"/>
            </w:pPr>
            <w:r>
              <w:rPr>
                <w:rFonts w:ascii="Times New Roman" w:hAnsi="Times New Roman"/>
                <w:b w:val="0"/>
                <w:color w:val="000000"/>
                <w:sz w:val="22"/>
              </w:rPr>
              <w:t>0,270539</w:t>
            </w:r>
          </w:p>
        </w:tc>
      </w:tr>
      <w:tr>
        <w:trPr>
          <w:cantSplit/>
        </w:trPr>
        <w:tc>
          <w:tcPr>
            <w:tcW w:type="dxa" w:w="1984"/>
            <w:vAlign w:val="center"/>
            <w:shd w:fill="FFFFFF" w:val="clear"/>
          </w:tcPr>
          <w:p>
            <w:pPr>
              <w:keepNext/>
              <w:widowControl/>
              <w:spacing w:line="240" w:lineRule="auto" w:before="40" w:after="40"/>
              <w:jc w:val="left"/>
            </w:pPr>
            <w:r>
              <w:rPr>
                <w:rFonts w:ascii="Times New Roman" w:hAnsi="Times New Roman"/>
                <w:b w:val="0"/>
                <w:color w:val="000000"/>
                <w:sz w:val="22"/>
              </w:rPr>
              <w:t>Республика Корея</w:t>
            </w:r>
          </w:p>
        </w:tc>
        <w:tc>
          <w:tcPr>
            <w:tcW w:type="dxa" w:w="680"/>
            <w:vAlign w:val="center"/>
            <w:shd w:fill="FFFFFF" w:val="clear"/>
          </w:tcPr>
          <w:p>
            <w:pPr>
              <w:keepNext/>
              <w:widowControl/>
              <w:spacing w:line="240" w:lineRule="auto" w:before="40" w:after="40"/>
              <w:jc w:val="center"/>
            </w:pPr>
            <w:r>
              <w:rPr>
                <w:rFonts w:ascii="Times New Roman" w:hAnsi="Times New Roman"/>
                <w:b w:val="0"/>
                <w:color w:val="000000"/>
                <w:sz w:val="22"/>
              </w:rPr>
              <w:t>2024</w:t>
            </w:r>
          </w:p>
        </w:tc>
        <w:tc>
          <w:tcPr>
            <w:tcW w:type="dxa" w:w="2211"/>
            <w:vAlign w:val="center"/>
            <w:shd w:fill="FFFFFF" w:val="clear"/>
          </w:tcPr>
          <w:p>
            <w:pPr>
              <w:keepNext/>
              <w:widowControl/>
              <w:spacing w:line="240" w:lineRule="auto" w:before="40" w:after="40"/>
              <w:jc w:val="center"/>
            </w:pPr>
            <w:r>
              <w:rPr>
                <w:rFonts w:ascii="Times New Roman" w:hAnsi="Times New Roman"/>
                <w:b w:val="0"/>
                <w:color w:val="000000"/>
                <w:sz w:val="22"/>
              </w:rPr>
              <w:t>119,82</w:t>
            </w:r>
          </w:p>
        </w:tc>
        <w:tc>
          <w:tcPr>
            <w:tcW w:type="dxa" w:w="2041"/>
            <w:vAlign w:val="center"/>
            <w:shd w:fill="FFFFFF" w:val="clear"/>
          </w:tcPr>
          <w:p>
            <w:pPr>
              <w:keepNext/>
              <w:widowControl/>
              <w:spacing w:line="240" w:lineRule="auto" w:before="40" w:after="40"/>
              <w:jc w:val="center"/>
            </w:pPr>
            <w:r>
              <w:rPr>
                <w:rFonts w:ascii="Times New Roman" w:hAnsi="Times New Roman"/>
                <w:b w:val="0"/>
                <w:color w:val="000000"/>
                <w:sz w:val="22"/>
              </w:rPr>
              <w:t>60,11</w:t>
            </w:r>
          </w:p>
        </w:tc>
        <w:tc>
          <w:tcPr>
            <w:tcW w:type="dxa" w:w="2438"/>
            <w:vAlign w:val="center"/>
            <w:shd w:fill="FFFFFF" w:val="clear"/>
          </w:tcPr>
          <w:p>
            <w:pPr>
              <w:keepNext/>
              <w:widowControl/>
              <w:spacing w:line="240" w:lineRule="auto" w:before="40" w:after="40"/>
              <w:jc w:val="center"/>
            </w:pPr>
            <w:r>
              <w:rPr>
                <w:rFonts w:ascii="Times New Roman" w:hAnsi="Times New Roman"/>
                <w:b w:val="0"/>
                <w:color w:val="000000"/>
                <w:sz w:val="22"/>
              </w:rPr>
              <w:t>0,212487</w:t>
            </w:r>
          </w:p>
        </w:tc>
      </w:tr>
    </w:tbl>
    <w:p>
      <w:pPr>
        <w:widowControl/>
        <w:spacing w:line="240" w:lineRule="auto" w:after="140" w:before="80"/>
      </w:pPr>
      <w:r>
        <w:rPr>
          <w:rFonts w:ascii="Times New Roman" w:hAnsi="Times New Roman"/>
          <w:b w:val="0"/>
          <w:color w:val="000000"/>
          <w:sz w:val="20"/>
        </w:rPr>
        <w:t>Источник: UN Comtrade, расчеты автора по месячным данным. Четыре категории готовых схем; HHI по всем направлениям, шкала 0–1.</w:t>
      </w:r>
    </w:p>
    <w:p>
      <w:pPr>
        <w:widowControl/>
        <w:spacing w:line="276" w:lineRule="auto" w:after="120"/>
      </w:pPr>
      <w:r>
        <w:rPr>
          <w:rFonts w:ascii="Times New Roman" w:hAnsi="Times New Roman"/>
          <w:b w:val="0"/>
          <w:color w:val="000000"/>
          <w:sz w:val="24"/>
        </w:rPr>
        <w:t>По полной географии HHI снизился в обеих странах. Одновременно товарная структура изменилась по-разному: доля памяти у Японии увеличилась, у Кореи уменьшилась. Эти изменения и позволяют проверить, одинаковый ли экономический смысл имеет снижение агрегированной концентрации.</w:t>
      </w:r>
    </w:p>
    <w:p>
      <w:pPr>
        <w:pStyle w:val="Heading1"/>
        <w:widowControl/>
        <w:spacing w:line="276" w:lineRule="auto" w:after="120"/>
      </w:pPr>
      <w:r>
        <w:rPr>
          <w:rFonts w:ascii="Times New Roman" w:hAnsi="Times New Roman"/>
          <w:b/>
          <w:color w:val="000000"/>
          <w:sz w:val="24"/>
        </w:rPr>
        <w:t>4 Географическая сетка и измерение роста</w:t>
      </w:r>
    </w:p>
    <w:p>
      <w:pPr>
        <w:widowControl/>
        <w:spacing w:line="276" w:lineRule="auto" w:after="120"/>
      </w:pPr>
      <w:r>
        <w:rPr>
          <w:rFonts w:ascii="Times New Roman" w:hAnsi="Times New Roman"/>
          <w:b w:val="0"/>
          <w:color w:val="000000"/>
          <w:sz w:val="24"/>
        </w:rPr>
        <w:t>Для ковариационной оценки используется одна географическая сетка для двух экспортеров и четырех товаров. Кандидаты ранжируются по среднему из экспортных долей Японии и Кореи за 2017–2020 годы; обе страны имеют одинаковый вес. Основной вариант включает первые восемь направлений и одну остаточную группу, охватывающую все остальные поставки.</w:t>
      </w:r>
    </w:p>
    <w:p>
      <w:pPr>
        <w:widowControl/>
        <w:spacing w:line="276" w:lineRule="auto" w:after="120"/>
      </w:pPr>
      <w:r>
        <w:rPr>
          <w:rFonts w:ascii="Times New Roman" w:hAnsi="Times New Roman"/>
          <w:b w:val="0"/>
          <w:color w:val="000000"/>
          <w:sz w:val="24"/>
        </w:rPr>
        <w:t>Отдельные направления основного варианта — Китай, Гонконг, Other Asia, nes, Вьетнам, Сингапур, Филиппины, США и Таиланд. Собственные коды Японии и Кореи не выбираются отдельными общими направлениями; взаимные поставки входят в остаточную группу. Она не означает исключения потоков из базы. Ее доля в фактических структурах составляет 17,17–19,27% у Японии и 5,48–7,86% у Кореи.</w:t>
      </w:r>
    </w:p>
    <w:p>
      <w:pPr>
        <w:widowControl/>
        <w:spacing w:line="276" w:lineRule="auto" w:after="120"/>
      </w:pPr>
      <w:r>
        <w:rPr>
          <w:rFonts w:ascii="Times New Roman" w:hAnsi="Times New Roman"/>
          <w:b w:val="0"/>
          <w:color w:val="000000"/>
          <w:sz w:val="24"/>
        </w:rPr>
        <w:t>Для каждого кандидата проверяется наблюдаемость годовых темпов по всем четырем товарам у обоих экспортеров. Если в ячейке имеются два нулевых значения, соответствующий кандидат объединяется с остатком для всей сетки. Замена по результату риска не подбирается. В основном варианте все восемь кандидатов прошли проверку. Критерий использует всю историю, поэтому эта сетка предназначена для исторического анализа, а не для прогноза, доступного в начале периода.</w:t>
      </w:r>
    </w:p>
    <w:p>
      <w:pPr>
        <w:widowControl/>
        <w:spacing w:line="276" w:lineRule="auto" w:after="120"/>
      </w:pPr>
      <w:r>
        <w:rPr>
          <w:rFonts w:ascii="Times New Roman" w:hAnsi="Times New Roman"/>
          <w:b w:val="0"/>
          <w:color w:val="000000"/>
          <w:sz w:val="24"/>
        </w:rPr>
        <w:t>Китай и Гонконг учитываются раздельно. Их объединение проверяется отдельно. Название Other Asia, nes сохраняется как в источнике и автоматически не заменяется названием отдельной экономики. Таможенное направление отгрузки не приравнивается к конечному потребителю.</w:t>
      </w:r>
    </w:p>
    <w:p>
      <w:pPr>
        <w:widowControl/>
        <w:spacing w:line="276" w:lineRule="auto" w:after="120"/>
      </w:pPr>
      <w:r>
        <w:rPr>
          <w:rFonts w:ascii="Times New Roman" w:hAnsi="Times New Roman"/>
          <w:b w:val="0"/>
          <w:color w:val="000000"/>
          <w:sz w:val="24"/>
        </w:rPr>
        <w:t>Основной темп — симметричный годовой рост стоимости отдельной товарно-географической ячейки:</w:t>
      </w:r>
    </w:p>
    <w:p>
      <w:pPr>
        <w:spacing w:before="60" w:after="160"/>
        <w:jc w:val="center"/>
      </w:pPr>
      <m:oMathPara>
        <m:oMath>
          <m:sSub>
            <m:e>
              <m:r>
                <w:rPr>
                  <w:rFonts w:ascii="Cambria Math" w:hAnsi="Cambria Math"/>
                  <w:sz w:val="24"/>
                  <w:color w:val="000000"/>
                </w:rPr>
                <m:t>g</m:t>
              </m:r>
            </m:e>
            <m:sub>
              <m:r>
                <w:rPr>
                  <w:rFonts w:ascii="Cambria Math" w:hAnsi="Cambria Math"/>
                  <w:sz w:val="24"/>
                  <w:color w:val="000000"/>
                </w:rPr>
                <m:t>i,t</m:t>
              </m:r>
            </m:sub>
          </m:sSub>
          <m:r>
            <w:rPr>
              <w:rFonts w:ascii="Cambria Math" w:hAnsi="Cambria Math"/>
              <w:sz w:val="24"/>
              <w:color w:val="000000"/>
            </w:rPr>
            <m:t> = </m:t>
          </m:r>
          <m:f>
            <m:num>
              <m:r>
                <w:rPr>
                  <w:rFonts w:ascii="Cambria Math" w:hAnsi="Cambria Math"/>
                  <w:sz w:val="24"/>
                  <w:color w:val="000000"/>
                </w:rPr>
                <m:t>2(</m:t>
              </m:r>
              <m:sSub>
                <m:e>
                  <m:r>
                    <w:rPr>
                      <w:rFonts w:ascii="Cambria Math" w:hAnsi="Cambria Math"/>
                      <w:sz w:val="24"/>
                      <w:color w:val="000000"/>
                    </w:rPr>
                    <m:t>x</m:t>
                  </m:r>
                </m:e>
                <m:sub>
                  <m:r>
                    <w:rPr>
                      <w:rFonts w:ascii="Cambria Math" w:hAnsi="Cambria Math"/>
                      <w:sz w:val="24"/>
                      <w:color w:val="000000"/>
                    </w:rPr>
                    <m:t>i,t</m:t>
                  </m:r>
                </m:sub>
              </m:sSub>
              <m:r>
                <w:rPr>
                  <w:rFonts w:ascii="Cambria Math" w:hAnsi="Cambria Math"/>
                  <w:sz w:val="24"/>
                  <w:color w:val="000000"/>
                </w:rPr>
                <m:t> − </m:t>
              </m:r>
              <m:sSub>
                <m:e>
                  <m:r>
                    <w:rPr>
                      <w:rFonts w:ascii="Cambria Math" w:hAnsi="Cambria Math"/>
                      <w:sz w:val="24"/>
                      <w:color w:val="000000"/>
                    </w:rPr>
                    <m:t>x</m:t>
                  </m:r>
                </m:e>
                <m:sub>
                  <m:r>
                    <w:rPr>
                      <w:rFonts w:ascii="Cambria Math" w:hAnsi="Cambria Math"/>
                      <w:sz w:val="24"/>
                      <w:color w:val="000000"/>
                    </w:rPr>
                    <m:t>i,t−12</m:t>
                  </m:r>
                </m:sub>
              </m:sSub>
              <m:r>
                <w:rPr>
                  <w:rFonts w:ascii="Cambria Math" w:hAnsi="Cambria Math"/>
                  <w:sz w:val="24"/>
                  <w:color w:val="000000"/>
                </w:rPr>
                <m:t>)</m:t>
              </m:r>
            </m:num>
            <m:den>
              <m:sSub>
                <m:e>
                  <m:r>
                    <w:rPr>
                      <w:rFonts w:ascii="Cambria Math" w:hAnsi="Cambria Math"/>
                      <w:sz w:val="24"/>
                      <w:color w:val="000000"/>
                    </w:rPr>
                    <m:t>x</m:t>
                  </m:r>
                </m:e>
                <m:sub>
                  <m:r>
                    <w:rPr>
                      <w:rFonts w:ascii="Cambria Math" w:hAnsi="Cambria Math"/>
                      <w:sz w:val="24"/>
                      <w:color w:val="000000"/>
                    </w:rPr>
                    <m:t>i,t</m:t>
                  </m:r>
                </m:sub>
              </m:sSub>
              <m:r>
                <w:rPr>
                  <w:rFonts w:ascii="Cambria Math" w:hAnsi="Cambria Math"/>
                  <w:sz w:val="24"/>
                  <w:color w:val="000000"/>
                </w:rPr>
                <m:t> + </m:t>
              </m:r>
              <m:sSub>
                <m:e>
                  <m:r>
                    <w:rPr>
                      <w:rFonts w:ascii="Cambria Math" w:hAnsi="Cambria Math"/>
                      <w:sz w:val="24"/>
                      <w:color w:val="000000"/>
                    </w:rPr>
                    <m:t>x</m:t>
                  </m:r>
                </m:e>
                <m:sub>
                  <m:r>
                    <w:rPr>
                      <w:rFonts w:ascii="Cambria Math" w:hAnsi="Cambria Math"/>
                      <w:sz w:val="24"/>
                      <w:color w:val="000000"/>
                    </w:rPr>
                    <m:t>i,t−12</m:t>
                  </m:r>
                </m:sub>
              </m:sSub>
            </m:den>
          </m:f>
        </m:oMath>
      </m:oMathPara>
    </w:p>
    <w:p>
      <w:pPr>
        <w:widowControl/>
        <w:spacing w:line="276" w:lineRule="auto" w:after="120"/>
      </w:pPr>
      <w:r>
        <w:rPr>
          <w:rFonts w:ascii="Times New Roman" w:hAnsi="Times New Roman"/>
          <w:b w:val="0"/>
          <w:color w:val="000000"/>
          <w:sz w:val="24"/>
        </w:rPr>
        <w:t>Здесь x — стоимость экспорта ячейки, t — месяц. При положительной сумме двух значений темп ограничен интервалом от −2 до 2. Появление потока после нулевого значения и прекращение поставок допускаются без логарифмирования. Если оба значения равны нулю, темп для ячейки с положительным фиксированным весом считается ненаблюдаемым.</w:t>
      </w:r>
    </w:p>
    <w:p>
      <w:pPr>
        <w:widowControl/>
        <w:spacing w:line="276" w:lineRule="auto" w:after="120"/>
      </w:pPr>
      <w:r>
        <w:rPr>
          <w:rFonts w:ascii="Times New Roman" w:hAnsi="Times New Roman"/>
          <w:b w:val="0"/>
          <w:color w:val="000000"/>
          <w:sz w:val="24"/>
        </w:rPr>
        <w:t>Для фактического агрегата симметричный рост точно равен сумме ячеечных темпов с весами, пропорциональными средней стоимости ячейки в двух сравниваемых месяцах. Это тождество проверено в расчетах. В основном условном индексе, напротив, доли фиксируются на уровне выбранного года, чтобы сопоставить две структуры при одинаковой истории колебаний.</w:t>
      </w:r>
    </w:p>
    <w:p>
      <w:pPr>
        <w:pStyle w:val="Heading1"/>
        <w:widowControl/>
        <w:spacing w:line="276" w:lineRule="auto" w:after="120"/>
      </w:pPr>
      <w:r>
        <w:rPr>
          <w:rFonts w:ascii="Times New Roman" w:hAnsi="Times New Roman"/>
          <w:b/>
          <w:color w:val="000000"/>
          <w:sz w:val="24"/>
        </w:rPr>
        <w:t>5 Модель и разложение изменения риска</w:t>
      </w:r>
    </w:p>
    <w:p>
      <w:pPr>
        <w:widowControl/>
        <w:spacing w:line="276" w:lineRule="auto" w:after="120"/>
      </w:pPr>
      <w:r>
        <w:rPr>
          <w:rFonts w:ascii="Times New Roman" w:hAnsi="Times New Roman"/>
          <w:b w:val="0"/>
          <w:color w:val="000000"/>
          <w:sz w:val="24"/>
        </w:rPr>
        <w:t>Пусть w обозначает долю товарной категории в экспорте готовых схем, а p — долю направления внутри категории. Вес ячейки равен их произведению:</w:t>
      </w:r>
    </w:p>
    <w:p>
      <w:pPr>
        <w:spacing w:before="60" w:after="160"/>
        <w:jc w:val="center"/>
      </w:pPr>
      <m:oMathPara>
        <m:oMath>
          <m:sSub>
            <m:e>
              <m:r>
                <w:rPr>
                  <w:rFonts w:ascii="Cambria Math" w:hAnsi="Cambria Math"/>
                  <w:sz w:val="24"/>
                  <w:color w:val="000000"/>
                </w:rPr>
                <m:t>a</m:t>
              </m:r>
            </m:e>
            <m:sub>
              <m:r>
                <w:rPr>
                  <w:rFonts w:ascii="Cambria Math" w:hAnsi="Cambria Math"/>
                  <w:sz w:val="24"/>
                  <w:color w:val="000000"/>
                </w:rPr>
                <m:t>g,d</m:t>
              </m:r>
            </m:sub>
          </m:sSub>
          <m:r>
            <w:rPr>
              <w:rFonts w:ascii="Cambria Math" w:hAnsi="Cambria Math"/>
              <w:sz w:val="24"/>
              <w:color w:val="000000"/>
            </w:rPr>
            <m:t> = </m:t>
          </m:r>
          <m:sSub>
            <m:e>
              <m:r>
                <w:rPr>
                  <w:rFonts w:ascii="Cambria Math" w:hAnsi="Cambria Math"/>
                  <w:sz w:val="24"/>
                  <w:color w:val="000000"/>
                </w:rPr>
                <m:t>w</m:t>
              </m:r>
            </m:e>
            <m:sub>
              <m:r>
                <w:rPr>
                  <w:rFonts w:ascii="Cambria Math" w:hAnsi="Cambria Math"/>
                  <w:sz w:val="24"/>
                  <w:color w:val="000000"/>
                </w:rPr>
                <m:t>g</m:t>
              </m:r>
            </m:sub>
          </m:sSub>
          <m:sSub>
            <m:e>
              <m:r>
                <w:rPr>
                  <w:rFonts w:ascii="Cambria Math" w:hAnsi="Cambria Math"/>
                  <w:sz w:val="24"/>
                  <w:color w:val="000000"/>
                </w:rPr>
                <m:t>p</m:t>
              </m:r>
            </m:e>
            <m:sub>
              <m:r>
                <w:rPr>
                  <w:rFonts w:ascii="Cambria Math" w:hAnsi="Cambria Math"/>
                  <w:sz w:val="24"/>
                  <w:color w:val="000000"/>
                </w:rPr>
                <m:t>d|g</m:t>
              </m:r>
            </m:sub>
          </m:sSub>
        </m:oMath>
      </m:oMathPara>
    </w:p>
    <w:p>
      <w:pPr>
        <w:widowControl/>
        <w:spacing w:line="276" w:lineRule="auto" w:after="120"/>
      </w:pPr>
      <w:r>
        <w:rPr>
          <w:rFonts w:ascii="Times New Roman" w:hAnsi="Times New Roman"/>
          <w:b w:val="0"/>
          <w:color w:val="000000"/>
          <w:sz w:val="24"/>
        </w:rPr>
        <w:t>Географическая концентрация рассчитывается как сумма квадратов общих долей направлений. Для сопоставимости HHI показывается на всех исходных направлениях и на сетке, используемой в модели риска:</w:t>
      </w:r>
    </w:p>
    <w:p>
      <w:pPr>
        <w:spacing w:before="60" w:after="160"/>
        <w:jc w:val="center"/>
      </w:pPr>
      <m:oMathPara>
        <m:oMath>
          <m:r>
            <w:rPr>
              <w:rFonts w:ascii="Cambria Math" w:hAnsi="Cambria Math"/>
              <w:sz w:val="24"/>
              <w:color w:val="000000"/>
            </w:rPr>
            <m:t>HHI = </m:t>
          </m:r>
          <m:nary>
            <m:naryPr>
              <m:chr m:val="∑"/>
              <m:limLoc m:val="subSup"/>
              <m:supHide m:val="1"/>
            </m:naryPr>
            <m:sub>
              <m:r>
                <w:rPr>
                  <w:rFonts w:ascii="Cambria Math" w:hAnsi="Cambria Math"/>
                  <w:sz w:val="24"/>
                  <w:color w:val="000000"/>
                </w:rPr>
                <m:t>d</m:t>
              </m:r>
            </m:sub>
            <m:sup/>
            <m:e>
              <m:sSup>
                <m:e>
                  <m:sSub>
                    <m:e>
                      <m:r>
                        <w:rPr>
                          <w:rFonts w:ascii="Cambria Math" w:hAnsi="Cambria Math"/>
                          <w:sz w:val="24"/>
                          <w:color w:val="000000"/>
                        </w:rPr>
                        <m:t>s</m:t>
                      </m:r>
                    </m:e>
                    <m:sub>
                      <m:r>
                        <w:rPr>
                          <w:rFonts w:ascii="Cambria Math" w:hAnsi="Cambria Math"/>
                          <w:sz w:val="24"/>
                          <w:color w:val="000000"/>
                        </w:rPr>
                        <m:t>d</m:t>
                      </m:r>
                    </m:sub>
                  </m:sSub>
                </m:e>
                <m:sup>
                  <m:r>
                    <w:rPr>
                      <w:rFonts w:ascii="Cambria Math" w:hAnsi="Cambria Math"/>
                      <w:sz w:val="24"/>
                      <w:color w:val="000000"/>
                    </w:rPr>
                    <m:t>2</m:t>
                  </m:r>
                </m:sup>
              </m:sSup>
            </m:e>
          </m:nary>
        </m:oMath>
      </m:oMathPara>
    </w:p>
    <w:p>
      <w:pPr>
        <w:widowControl/>
        <w:spacing w:line="276" w:lineRule="auto" w:after="120"/>
      </w:pPr>
      <w:r>
        <w:rPr>
          <w:rFonts w:ascii="Times New Roman" w:hAnsi="Times New Roman"/>
          <w:b w:val="0"/>
          <w:color w:val="000000"/>
          <w:sz w:val="24"/>
        </w:rPr>
        <w:t>Для каждой страны отдельно оценивается выборочная матрица ковариаций темпов ячеек. Основное окно — 84 месячных годовых темпа с января 2018 по декабрь 2024 года, делитель при расчете ковариации — n − 1. Матрица остается одной и той же при четырех структурных заменах, но различается между Японией и Кореей.</w:t>
      </w:r>
    </w:p>
    <w:p>
      <w:pPr>
        <w:widowControl/>
        <w:spacing w:line="276" w:lineRule="auto" w:after="120"/>
      </w:pPr>
      <w:r>
        <w:rPr>
          <w:rFonts w:ascii="Times New Roman" w:hAnsi="Times New Roman"/>
          <w:b w:val="0"/>
          <w:color w:val="000000"/>
          <w:sz w:val="24"/>
        </w:rPr>
        <w:t>Условная дисперсия и стандартное отклонение определяются следующим образом:</w:t>
      </w:r>
    </w:p>
    <w:p>
      <w:pPr>
        <w:spacing w:before="60" w:after="160"/>
        <w:jc w:val="center"/>
      </w:pPr>
      <m:oMathPara>
        <m:oMath>
          <m:r>
            <w:rPr>
              <w:rFonts w:ascii="Cambria Math" w:hAnsi="Cambria Math"/>
              <w:sz w:val="24"/>
              <w:color w:val="000000"/>
            </w:rPr>
            <m:t>V = </m:t>
          </m:r>
          <m:sSup>
            <m:e>
              <m:r>
                <w:rPr>
                  <w:rFonts w:ascii="Cambria Math" w:hAnsi="Cambria Math"/>
                  <w:sz w:val="24"/>
                  <w:color w:val="000000"/>
                </w:rPr>
                <m:t>a</m:t>
              </m:r>
            </m:e>
            <m:sup>
              <m:r>
                <w:rPr>
                  <w:rFonts w:ascii="Cambria Math" w:hAnsi="Cambria Math"/>
                  <w:sz w:val="24"/>
                  <w:color w:val="000000"/>
                </w:rPr>
                <m:t>T</m:t>
              </m:r>
            </m:sup>
          </m:sSup>
          <m:r>
            <w:rPr>
              <w:rFonts w:ascii="Cambria Math" w:hAnsi="Cambria Math"/>
              <w:sz w:val="24"/>
              <w:color w:val="000000"/>
            </w:rPr>
            <m:t>Σa,     S = 100</m:t>
          </m:r>
          <m:rad>
            <m:radPr>
              <m:degHide m:val="1"/>
            </m:radPr>
            <m:deg/>
            <m:e>
              <m:r>
                <w:rPr>
                  <w:rFonts w:ascii="Cambria Math" w:hAnsi="Cambria Math"/>
                  <w:sz w:val="24"/>
                  <w:color w:val="000000"/>
                </w:rPr>
                <m:t>V</m:t>
              </m:r>
            </m:e>
          </m:rad>
        </m:oMath>
      </m:oMathPara>
    </w:p>
    <w:p>
      <w:pPr>
        <w:widowControl/>
        <w:spacing w:line="276" w:lineRule="auto" w:after="120"/>
      </w:pPr>
      <w:r>
        <w:rPr>
          <w:rFonts w:ascii="Times New Roman" w:hAnsi="Times New Roman"/>
          <w:b w:val="0"/>
          <w:color w:val="000000"/>
          <w:sz w:val="24"/>
        </w:rPr>
        <w:t>Показатель S выражен в процентных пунктах симметричного темпа. Он измеряет стандартное отклонение синтетической суммы ячеечных темпов с фиксированными весами. Это не денежная величина возможного убытка и не буквальный сценарий переноса производства или продаж. Разница между странами также не является отдельно идентифицированным эффектом их специализации.</w:t>
      </w:r>
    </w:p>
    <w:p>
      <w:pPr>
        <w:widowControl/>
        <w:spacing w:line="276" w:lineRule="auto" w:after="120"/>
      </w:pPr>
      <w:r>
        <w:rPr>
          <w:rFonts w:ascii="Times New Roman" w:hAnsi="Times New Roman"/>
          <w:b w:val="0"/>
          <w:color w:val="000000"/>
          <w:sz w:val="24"/>
        </w:rPr>
        <w:t>Сравниваются четыре состояния. V00 использует товарные доли и географию 2017 года. V10 заменяет только товарные доли на значения 2024 года. V01 заменяет только географию внутри категорий. V11 использует обе части структуры 2024 года.</w:t>
      </w:r>
    </w:p>
    <w:p>
      <w:pPr>
        <w:widowControl/>
        <w:spacing w:line="276" w:lineRule="auto" w:after="120"/>
      </w:pPr>
      <w:r>
        <w:rPr>
          <w:rFonts w:ascii="Times New Roman" w:hAnsi="Times New Roman"/>
          <w:b w:val="0"/>
          <w:color w:val="000000"/>
          <w:sz w:val="24"/>
        </w:rPr>
        <w:t>Вклад факторов рассчитывается по известному принципу Шепли [4]. Для каждого фактора усредняются результаты двух порядков замены:</w:t>
      </w:r>
    </w:p>
    <w:p>
      <w:pPr>
        <w:spacing w:before="60" w:after="160"/>
        <w:jc w:val="center"/>
      </w:pPr>
      <m:oMathPara>
        <m:oMath>
          <m:sSub>
            <m:e>
              <m:r>
                <w:rPr>
                  <w:rFonts w:ascii="Cambria Math" w:hAnsi="Cambria Math"/>
                  <w:sz w:val="24"/>
                  <w:color w:val="000000"/>
                </w:rPr>
                <m:t>φ</m:t>
              </m:r>
            </m:e>
            <m:sub>
              <m:r>
                <w:rPr>
                  <w:rFonts w:ascii="Cambria Math" w:hAnsi="Cambria Math"/>
                  <w:sz w:val="24"/>
                  <w:color w:val="000000"/>
                </w:rPr>
                <m:t>w</m:t>
              </m:r>
            </m:sub>
          </m:sSub>
          <m:r>
            <w:rPr>
              <w:rFonts w:ascii="Cambria Math" w:hAnsi="Cambria Math"/>
              <w:sz w:val="24"/>
              <w:color w:val="000000"/>
            </w:rPr>
            <m:t> = </m:t>
          </m:r>
          <m:f>
            <m:num>
              <m:r>
                <w:rPr>
                  <w:rFonts w:ascii="Cambria Math" w:hAnsi="Cambria Math"/>
                  <w:sz w:val="24"/>
                  <w:color w:val="000000"/>
                </w:rPr>
                <m:t>1</m:t>
              </m:r>
            </m:num>
            <m:den>
              <m:r>
                <w:rPr>
                  <w:rFonts w:ascii="Cambria Math" w:hAnsi="Cambria Math"/>
                  <w:sz w:val="24"/>
                  <w:color w:val="000000"/>
                </w:rPr>
                <m:t>2</m:t>
              </m:r>
            </m:den>
          </m:f>
          <m:r>
            <w:rPr>
              <w:rFonts w:ascii="Cambria Math" w:hAnsi="Cambria Math"/>
              <w:sz w:val="24"/>
              <w:color w:val="000000"/>
            </w:rPr>
            <m:t> [</m:t>
          </m:r>
          <m:r>
            <w:rPr>
              <w:rFonts w:ascii="Cambria Math" w:hAnsi="Cambria Math"/>
              <w:sz w:val="24"/>
              <w:color w:val="000000"/>
            </w:rPr>
            <m:t>(</m:t>
          </m:r>
          <m:sSub>
            <m:e>
              <m:r>
                <w:rPr>
                  <w:rFonts w:ascii="Cambria Math" w:hAnsi="Cambria Math"/>
                  <w:sz w:val="24"/>
                  <w:color w:val="000000"/>
                </w:rPr>
                <m:t>V</m:t>
              </m:r>
            </m:e>
            <m:sub>
              <m:r>
                <w:rPr>
                  <w:rFonts w:ascii="Cambria Math" w:hAnsi="Cambria Math"/>
                  <w:sz w:val="24"/>
                  <w:color w:val="000000"/>
                </w:rPr>
                <m:t>10</m:t>
              </m:r>
            </m:sub>
          </m:sSub>
          <m:r>
            <w:rPr>
              <w:rFonts w:ascii="Cambria Math" w:hAnsi="Cambria Math"/>
              <w:sz w:val="24"/>
              <w:color w:val="000000"/>
            </w:rPr>
            <m:t> − </m:t>
          </m:r>
          <m:sSub>
            <m:e>
              <m:r>
                <w:rPr>
                  <w:rFonts w:ascii="Cambria Math" w:hAnsi="Cambria Math"/>
                  <w:sz w:val="24"/>
                  <w:color w:val="000000"/>
                </w:rPr>
                <m:t>V</m:t>
              </m:r>
            </m:e>
            <m:sub>
              <m:r>
                <w:rPr>
                  <w:rFonts w:ascii="Cambria Math" w:hAnsi="Cambria Math"/>
                  <w:sz w:val="24"/>
                  <w:color w:val="000000"/>
                </w:rPr>
                <m:t>00</m:t>
              </m:r>
            </m:sub>
          </m:sSub>
          <m:r>
            <w:rPr>
              <w:rFonts w:ascii="Cambria Math" w:hAnsi="Cambria Math"/>
              <w:sz w:val="24"/>
              <w:color w:val="000000"/>
            </w:rPr>
            <m:t>)</m:t>
          </m:r>
          <m:r>
            <w:rPr>
              <w:rFonts w:ascii="Cambria Math" w:hAnsi="Cambria Math"/>
              <w:sz w:val="24"/>
              <w:color w:val="000000"/>
            </w:rPr>
            <m:t> + </m:t>
          </m:r>
          <m:r>
            <w:rPr>
              <w:rFonts w:ascii="Cambria Math" w:hAnsi="Cambria Math"/>
              <w:sz w:val="24"/>
              <w:color w:val="000000"/>
            </w:rPr>
            <m:t>(</m:t>
          </m:r>
          <m:sSub>
            <m:e>
              <m:r>
                <w:rPr>
                  <w:rFonts w:ascii="Cambria Math" w:hAnsi="Cambria Math"/>
                  <w:sz w:val="24"/>
                  <w:color w:val="000000"/>
                </w:rPr>
                <m:t>V</m:t>
              </m:r>
            </m:e>
            <m:sub>
              <m:r>
                <w:rPr>
                  <w:rFonts w:ascii="Cambria Math" w:hAnsi="Cambria Math"/>
                  <w:sz w:val="24"/>
                  <w:color w:val="000000"/>
                </w:rPr>
                <m:t>11</m:t>
              </m:r>
            </m:sub>
          </m:sSub>
          <m:r>
            <w:rPr>
              <w:rFonts w:ascii="Cambria Math" w:hAnsi="Cambria Math"/>
              <w:sz w:val="24"/>
              <w:color w:val="000000"/>
            </w:rPr>
            <m:t> − </m:t>
          </m:r>
          <m:sSub>
            <m:e>
              <m:r>
                <w:rPr>
                  <w:rFonts w:ascii="Cambria Math" w:hAnsi="Cambria Math"/>
                  <w:sz w:val="24"/>
                  <w:color w:val="000000"/>
                </w:rPr>
                <m:t>V</m:t>
              </m:r>
            </m:e>
            <m:sub>
              <m:r>
                <w:rPr>
                  <w:rFonts w:ascii="Cambria Math" w:hAnsi="Cambria Math"/>
                  <w:sz w:val="24"/>
                  <w:color w:val="000000"/>
                </w:rPr>
                <m:t>01</m:t>
              </m:r>
            </m:sub>
          </m:sSub>
          <m:r>
            <w:rPr>
              <w:rFonts w:ascii="Cambria Math" w:hAnsi="Cambria Math"/>
              <w:sz w:val="24"/>
              <w:color w:val="000000"/>
            </w:rPr>
            <m:t>)</m:t>
          </m:r>
          <m:r>
            <w:rPr>
              <w:rFonts w:ascii="Cambria Math" w:hAnsi="Cambria Math"/>
              <w:sz w:val="24"/>
              <w:color w:val="000000"/>
            </w:rPr>
            <m:t>]</m:t>
          </m:r>
        </m:oMath>
      </m:oMathPara>
    </w:p>
    <w:p>
      <w:pPr>
        <w:spacing w:before="60" w:after="160"/>
        <w:jc w:val="center"/>
      </w:pPr>
      <m:oMathPara>
        <m:oMath>
          <m:sSub>
            <m:e>
              <m:r>
                <w:rPr>
                  <w:rFonts w:ascii="Cambria Math" w:hAnsi="Cambria Math"/>
                  <w:sz w:val="24"/>
                  <w:color w:val="000000"/>
                </w:rPr>
                <m:t>φ</m:t>
              </m:r>
            </m:e>
            <m:sub>
              <m:r>
                <w:rPr>
                  <w:rFonts w:ascii="Cambria Math" w:hAnsi="Cambria Math"/>
                  <w:sz w:val="24"/>
                  <w:color w:val="000000"/>
                </w:rPr>
                <m:t>p</m:t>
              </m:r>
            </m:sub>
          </m:sSub>
          <m:r>
            <w:rPr>
              <w:rFonts w:ascii="Cambria Math" w:hAnsi="Cambria Math"/>
              <w:sz w:val="24"/>
              <w:color w:val="000000"/>
            </w:rPr>
            <m:t> = </m:t>
          </m:r>
          <m:f>
            <m:num>
              <m:r>
                <w:rPr>
                  <w:rFonts w:ascii="Cambria Math" w:hAnsi="Cambria Math"/>
                  <w:sz w:val="24"/>
                  <w:color w:val="000000"/>
                </w:rPr>
                <m:t>1</m:t>
              </m:r>
            </m:num>
            <m:den>
              <m:r>
                <w:rPr>
                  <w:rFonts w:ascii="Cambria Math" w:hAnsi="Cambria Math"/>
                  <w:sz w:val="24"/>
                  <w:color w:val="000000"/>
                </w:rPr>
                <m:t>2</m:t>
              </m:r>
            </m:den>
          </m:f>
          <m:r>
            <w:rPr>
              <w:rFonts w:ascii="Cambria Math" w:hAnsi="Cambria Math"/>
              <w:sz w:val="24"/>
              <w:color w:val="000000"/>
            </w:rPr>
            <m:t> [</m:t>
          </m:r>
          <m:r>
            <w:rPr>
              <w:rFonts w:ascii="Cambria Math" w:hAnsi="Cambria Math"/>
              <w:sz w:val="24"/>
              <w:color w:val="000000"/>
            </w:rPr>
            <m:t>(</m:t>
          </m:r>
          <m:sSub>
            <m:e>
              <m:r>
                <w:rPr>
                  <w:rFonts w:ascii="Cambria Math" w:hAnsi="Cambria Math"/>
                  <w:sz w:val="24"/>
                  <w:color w:val="000000"/>
                </w:rPr>
                <m:t>V</m:t>
              </m:r>
            </m:e>
            <m:sub>
              <m:r>
                <w:rPr>
                  <w:rFonts w:ascii="Cambria Math" w:hAnsi="Cambria Math"/>
                  <w:sz w:val="24"/>
                  <w:color w:val="000000"/>
                </w:rPr>
                <m:t>01</m:t>
              </m:r>
            </m:sub>
          </m:sSub>
          <m:r>
            <w:rPr>
              <w:rFonts w:ascii="Cambria Math" w:hAnsi="Cambria Math"/>
              <w:sz w:val="24"/>
              <w:color w:val="000000"/>
            </w:rPr>
            <m:t> − </m:t>
          </m:r>
          <m:sSub>
            <m:e>
              <m:r>
                <w:rPr>
                  <w:rFonts w:ascii="Cambria Math" w:hAnsi="Cambria Math"/>
                  <w:sz w:val="24"/>
                  <w:color w:val="000000"/>
                </w:rPr>
                <m:t>V</m:t>
              </m:r>
            </m:e>
            <m:sub>
              <m:r>
                <w:rPr>
                  <w:rFonts w:ascii="Cambria Math" w:hAnsi="Cambria Math"/>
                  <w:sz w:val="24"/>
                  <w:color w:val="000000"/>
                </w:rPr>
                <m:t>00</m:t>
              </m:r>
            </m:sub>
          </m:sSub>
          <m:r>
            <w:rPr>
              <w:rFonts w:ascii="Cambria Math" w:hAnsi="Cambria Math"/>
              <w:sz w:val="24"/>
              <w:color w:val="000000"/>
            </w:rPr>
            <m:t>)</m:t>
          </m:r>
          <m:r>
            <w:rPr>
              <w:rFonts w:ascii="Cambria Math" w:hAnsi="Cambria Math"/>
              <w:sz w:val="24"/>
              <w:color w:val="000000"/>
            </w:rPr>
            <m:t> + </m:t>
          </m:r>
          <m:r>
            <w:rPr>
              <w:rFonts w:ascii="Cambria Math" w:hAnsi="Cambria Math"/>
              <w:sz w:val="24"/>
              <w:color w:val="000000"/>
            </w:rPr>
            <m:t>(</m:t>
          </m:r>
          <m:sSub>
            <m:e>
              <m:r>
                <w:rPr>
                  <w:rFonts w:ascii="Cambria Math" w:hAnsi="Cambria Math"/>
                  <w:sz w:val="24"/>
                  <w:color w:val="000000"/>
                </w:rPr>
                <m:t>V</m:t>
              </m:r>
            </m:e>
            <m:sub>
              <m:r>
                <w:rPr>
                  <w:rFonts w:ascii="Cambria Math" w:hAnsi="Cambria Math"/>
                  <w:sz w:val="24"/>
                  <w:color w:val="000000"/>
                </w:rPr>
                <m:t>11</m:t>
              </m:r>
            </m:sub>
          </m:sSub>
          <m:r>
            <w:rPr>
              <w:rFonts w:ascii="Cambria Math" w:hAnsi="Cambria Math"/>
              <w:sz w:val="24"/>
              <w:color w:val="000000"/>
            </w:rPr>
            <m:t> − </m:t>
          </m:r>
          <m:sSub>
            <m:e>
              <m:r>
                <w:rPr>
                  <w:rFonts w:ascii="Cambria Math" w:hAnsi="Cambria Math"/>
                  <w:sz w:val="24"/>
                  <w:color w:val="000000"/>
                </w:rPr>
                <m:t>V</m:t>
              </m:r>
            </m:e>
            <m:sub>
              <m:r>
                <w:rPr>
                  <w:rFonts w:ascii="Cambria Math" w:hAnsi="Cambria Math"/>
                  <w:sz w:val="24"/>
                  <w:color w:val="000000"/>
                </w:rPr>
                <m:t>10</m:t>
              </m:r>
            </m:sub>
          </m:sSub>
          <m:r>
            <w:rPr>
              <w:rFonts w:ascii="Cambria Math" w:hAnsi="Cambria Math"/>
              <w:sz w:val="24"/>
              <w:color w:val="000000"/>
            </w:rPr>
            <m:t>)</m:t>
          </m:r>
          <m:r>
            <w:rPr>
              <w:rFonts w:ascii="Cambria Math" w:hAnsi="Cambria Math"/>
              <w:sz w:val="24"/>
              <w:color w:val="000000"/>
            </w:rPr>
            <m:t>]</m:t>
          </m:r>
        </m:oMath>
      </m:oMathPara>
    </w:p>
    <w:p>
      <w:pPr>
        <w:widowControl/>
        <w:spacing w:line="276" w:lineRule="auto" w:after="120"/>
      </w:pPr>
      <w:r>
        <w:rPr>
          <w:rFonts w:ascii="Times New Roman" w:hAnsi="Times New Roman"/>
          <w:b w:val="0"/>
          <w:color w:val="000000"/>
          <w:sz w:val="24"/>
        </w:rPr>
        <w:t>Товарный и географический вклады точно складываются в изменение дисперсии V11 − V00. Разложение проводится в единицах дисперсии, п.п.². Изменение стандартного отклонения показывается отдельно: вклады в дисперсию нельзя напрямую складывать как вклады в стандартное отклонение.</w:t>
      </w:r>
    </w:p>
    <w:p>
      <w:pPr>
        <w:widowControl/>
        <w:spacing w:line="276" w:lineRule="auto" w:after="120"/>
      </w:pPr>
      <w:r>
        <w:rPr>
          <w:rFonts w:ascii="Times New Roman" w:hAnsi="Times New Roman"/>
          <w:b w:val="0"/>
          <w:color w:val="000000"/>
          <w:sz w:val="24"/>
        </w:rPr>
        <w:t>Для проверки неопределенности используется 1 999 повторов парного циркулярного блочного bootstrap. Все ячейки пересэмплируются совместно, чтобы сохранялось их одновременное движение. Основной блок равен 12 месяцам, дополнительный — шести. Доли и географическая сетка при пересэмплировании фиксированы. Интервалы построены по 2,5-му и 97,5-му процентилям.</w:t>
      </w:r>
    </w:p>
    <w:p>
      <w:pPr>
        <w:widowControl/>
        <w:spacing w:line="276" w:lineRule="auto" w:after="120"/>
      </w:pPr>
      <w:r>
        <w:rPr>
          <w:rFonts w:ascii="Times New Roman" w:hAnsi="Times New Roman"/>
          <w:b w:val="0"/>
          <w:color w:val="000000"/>
          <w:sz w:val="24"/>
        </w:rPr>
        <w:t>Полученные интервалы условны относительно выбранной структуры и истории. Они не включают всю неопределенность выбора модели и весов. Годовые темпы перекрываются, а доступная история содержит немного полных циклов; число товарно-месячных строк не превращается в такое же число независимых наблюдений.</w:t>
      </w:r>
    </w:p>
    <w:p>
      <w:pPr>
        <w:pStyle w:val="Heading1"/>
        <w:widowControl/>
        <w:spacing w:line="276" w:lineRule="auto" w:after="120"/>
      </w:pPr>
      <w:r>
        <w:rPr>
          <w:rFonts w:ascii="Times New Roman" w:hAnsi="Times New Roman"/>
          <w:b/>
          <w:color w:val="000000"/>
          <w:sz w:val="24"/>
        </w:rPr>
        <w:t>6 Основные результаты</w:t>
      </w:r>
    </w:p>
    <w:p>
      <w:pPr>
        <w:widowControl/>
        <w:spacing w:line="276" w:lineRule="auto" w:after="120"/>
      </w:pPr>
      <w:r>
        <w:rPr>
          <w:rFonts w:ascii="Times New Roman" w:hAnsi="Times New Roman"/>
          <w:b w:val="0"/>
          <w:color w:val="000000"/>
          <w:sz w:val="24"/>
        </w:rPr>
        <w:t>Таблица четырех состояний показывает, что товарная и географическая замены имеют разное направление у двух экспортеров. Все стандартные отклонения рассчитаны на общей для состояний истории 2018–2024 годов.</w:t>
      </w:r>
    </w:p>
    <w:p>
      <w:pPr>
        <w:keepNext/>
        <w:widowControl/>
        <w:spacing w:line="276" w:lineRule="auto" w:after="80" w:before="100"/>
      </w:pPr>
      <w:r>
        <w:rPr>
          <w:rFonts w:ascii="Times New Roman" w:hAnsi="Times New Roman"/>
          <w:b w:val="0"/>
          <w:color w:val="000000"/>
          <w:sz w:val="22"/>
        </w:rPr>
        <w:t>Таблица 3 Условное стандартное отклонение четырех структур</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4592"/>
        <w:gridCol w:w="2381"/>
        <w:gridCol w:w="2381"/>
      </w:tblGrid>
      <w:tr>
        <w:trPr>
          <w:tblHeader/>
          <w:cantSplit/>
        </w:trPr>
        <w:tc>
          <w:tcPr>
            <w:tcW w:type="dxa" w:w="4592"/>
            <w:vAlign w:val="center"/>
            <w:shd w:fill="FFFFFF" w:val="clear"/>
          </w:tcPr>
          <w:p>
            <w:pPr>
              <w:keepNext/>
              <w:widowControl/>
              <w:spacing w:line="240" w:lineRule="auto" w:before="40" w:after="40"/>
              <w:jc w:val="left"/>
            </w:pPr>
            <w:r>
              <w:rPr>
                <w:rFonts w:ascii="Times New Roman" w:hAnsi="Times New Roman"/>
                <w:b/>
                <w:color w:val="000000"/>
                <w:sz w:val="22"/>
              </w:rPr>
              <w:t>Состояние</w:t>
            </w:r>
          </w:p>
        </w:tc>
        <w:tc>
          <w:tcPr>
            <w:tcW w:type="dxa" w:w="2381"/>
            <w:vAlign w:val="center"/>
            <w:shd w:fill="FFFFFF" w:val="clear"/>
          </w:tcPr>
          <w:p>
            <w:pPr>
              <w:keepNext/>
              <w:widowControl/>
              <w:spacing w:line="240" w:lineRule="auto" w:before="40" w:after="40"/>
              <w:jc w:val="center"/>
            </w:pPr>
            <w:r>
              <w:rPr>
                <w:rFonts w:ascii="Times New Roman" w:hAnsi="Times New Roman"/>
                <w:b/>
                <w:color w:val="000000"/>
                <w:sz w:val="22"/>
              </w:rPr>
              <w:t>Япония, п.п.</w:t>
            </w:r>
          </w:p>
        </w:tc>
        <w:tc>
          <w:tcPr>
            <w:tcW w:type="dxa" w:w="2381"/>
            <w:vAlign w:val="center"/>
            <w:shd w:fill="FFFFFF" w:val="clear"/>
          </w:tcPr>
          <w:p>
            <w:pPr>
              <w:keepNext/>
              <w:widowControl/>
              <w:spacing w:line="240" w:lineRule="auto" w:before="40" w:after="40"/>
              <w:jc w:val="center"/>
            </w:pPr>
            <w:r>
              <w:rPr>
                <w:rFonts w:ascii="Times New Roman" w:hAnsi="Times New Roman"/>
                <w:b/>
                <w:color w:val="000000"/>
                <w:sz w:val="22"/>
              </w:rPr>
              <w:t>Корея, п.п.</w:t>
            </w:r>
          </w:p>
        </w:tc>
      </w:tr>
      <w:tr>
        <w:trPr>
          <w:cantSplit/>
        </w:trPr>
        <w:tc>
          <w:tcPr>
            <w:tcW w:type="dxa" w:w="4592"/>
            <w:vAlign w:val="center"/>
            <w:shd w:fill="FFFFFF" w:val="clear"/>
          </w:tcPr>
          <w:p>
            <w:pPr>
              <w:keepNext/>
              <w:widowControl/>
              <w:spacing w:line="240" w:lineRule="auto" w:before="40" w:after="40"/>
              <w:jc w:val="left"/>
            </w:pPr>
            <w:r>
              <w:rPr>
                <w:rFonts w:ascii="Times New Roman" w:hAnsi="Times New Roman"/>
                <w:b w:val="0"/>
                <w:color w:val="000000"/>
                <w:sz w:val="22"/>
              </w:rPr>
              <w:t>Доли и география 2017</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10,04</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29,85</w:t>
            </w:r>
          </w:p>
        </w:tc>
      </w:tr>
      <w:tr>
        <w:trPr>
          <w:cantSplit/>
        </w:trPr>
        <w:tc>
          <w:tcPr>
            <w:tcW w:type="dxa" w:w="4592"/>
            <w:vAlign w:val="center"/>
            <w:shd w:fill="FFFFFF" w:val="clear"/>
          </w:tcPr>
          <w:p>
            <w:pPr>
              <w:keepNext/>
              <w:widowControl/>
              <w:spacing w:line="240" w:lineRule="auto" w:before="40" w:after="40"/>
              <w:jc w:val="left"/>
            </w:pPr>
            <w:r>
              <w:rPr>
                <w:rFonts w:ascii="Times New Roman" w:hAnsi="Times New Roman"/>
                <w:b w:val="0"/>
                <w:color w:val="000000"/>
                <w:sz w:val="22"/>
              </w:rPr>
              <w:t>Только товарные доли 2024</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10,31</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26,73</w:t>
            </w:r>
          </w:p>
        </w:tc>
      </w:tr>
      <w:tr>
        <w:trPr>
          <w:cantSplit/>
        </w:trPr>
        <w:tc>
          <w:tcPr>
            <w:tcW w:type="dxa" w:w="4592"/>
            <w:vAlign w:val="center"/>
            <w:shd w:fill="FFFFFF" w:val="clear"/>
          </w:tcPr>
          <w:p>
            <w:pPr>
              <w:keepNext/>
              <w:widowControl/>
              <w:spacing w:line="240" w:lineRule="auto" w:before="40" w:after="40"/>
              <w:jc w:val="left"/>
            </w:pPr>
            <w:r>
              <w:rPr>
                <w:rFonts w:ascii="Times New Roman" w:hAnsi="Times New Roman"/>
                <w:b w:val="0"/>
                <w:color w:val="000000"/>
                <w:sz w:val="22"/>
              </w:rPr>
              <w:t>Только география 2024</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9,52</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31,41</w:t>
            </w:r>
          </w:p>
        </w:tc>
      </w:tr>
      <w:tr>
        <w:trPr>
          <w:cantSplit/>
        </w:trPr>
        <w:tc>
          <w:tcPr>
            <w:tcW w:type="dxa" w:w="4592"/>
            <w:vAlign w:val="center"/>
            <w:shd w:fill="FFFFFF" w:val="clear"/>
          </w:tcPr>
          <w:p>
            <w:pPr>
              <w:keepNext/>
              <w:widowControl/>
              <w:spacing w:line="240" w:lineRule="auto" w:before="40" w:after="40"/>
              <w:jc w:val="left"/>
            </w:pPr>
            <w:r>
              <w:rPr>
                <w:rFonts w:ascii="Times New Roman" w:hAnsi="Times New Roman"/>
                <w:b w:val="0"/>
                <w:color w:val="000000"/>
                <w:sz w:val="22"/>
              </w:rPr>
              <w:t>Доли и география 2024</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9,77</w:t>
            </w:r>
          </w:p>
        </w:tc>
        <w:tc>
          <w:tcPr>
            <w:tcW w:type="dxa" w:w="2381"/>
            <w:vAlign w:val="center"/>
            <w:shd w:fill="FFFFFF" w:val="clear"/>
          </w:tcPr>
          <w:p>
            <w:pPr>
              <w:keepNext/>
              <w:widowControl/>
              <w:spacing w:line="240" w:lineRule="auto" w:before="40" w:after="40"/>
              <w:jc w:val="center"/>
            </w:pPr>
            <w:r>
              <w:rPr>
                <w:rFonts w:ascii="Times New Roman" w:hAnsi="Times New Roman"/>
                <w:b w:val="0"/>
                <w:color w:val="000000"/>
                <w:sz w:val="22"/>
              </w:rPr>
              <w:t>28,58</w:t>
            </w:r>
          </w:p>
        </w:tc>
      </w:tr>
    </w:tbl>
    <w:p>
      <w:pPr>
        <w:widowControl/>
        <w:spacing w:line="240" w:lineRule="auto" w:after="140" w:before="80"/>
      </w:pPr>
      <w:r>
        <w:rPr>
          <w:rFonts w:ascii="Times New Roman" w:hAnsi="Times New Roman"/>
          <w:b w:val="0"/>
          <w:color w:val="000000"/>
          <w:sz w:val="20"/>
        </w:rPr>
        <w:t>Источник: расчеты автора. Для каждого экспортера одна ковариация 2018–2024 годов; 84 месячных годовых темпа в каждом состоянии.</w:t>
      </w:r>
    </w:p>
    <w:p>
      <w:pPr>
        <w:widowControl/>
        <w:spacing w:line="276" w:lineRule="auto" w:after="120"/>
      </w:pPr>
      <w:r>
        <w:rPr>
          <w:rFonts w:ascii="Times New Roman" w:hAnsi="Times New Roman"/>
          <w:b w:val="0"/>
          <w:color w:val="000000"/>
          <w:sz w:val="24"/>
        </w:rPr>
        <w:t>У Японии замена товарных долей повышает стандартное отклонение, а географии — снижает. Итоговое изменение составляет −0,26 п.п. У Кореи товарная замена снижает показатель, а географическая повышает; итоговое изменение равно −1,27 п.п. Это различие сохраняется при симметричном учете двух порядков замены факторов.</w:t>
      </w:r>
    </w:p>
    <w:p>
      <w:pPr>
        <w:keepNext/>
        <w:widowControl/>
        <w:spacing w:line="276" w:lineRule="auto" w:after="80" w:before="100"/>
      </w:pPr>
      <w:r>
        <w:rPr>
          <w:rFonts w:ascii="Times New Roman" w:hAnsi="Times New Roman"/>
          <w:b w:val="0"/>
          <w:color w:val="000000"/>
          <w:sz w:val="22"/>
        </w:rPr>
        <w:t>Таблица 4 Основное изменение и вклады факторов</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757"/>
        <w:gridCol w:w="2268"/>
        <w:gridCol w:w="2665"/>
        <w:gridCol w:w="2665"/>
      </w:tblGrid>
      <w:tr>
        <w:trPr>
          <w:tblHeader/>
          <w:cantSplit/>
        </w:trPr>
        <w:tc>
          <w:tcPr>
            <w:tcW w:type="dxa" w:w="1757"/>
            <w:vAlign w:val="center"/>
            <w:shd w:fill="FFFFFF" w:val="clear"/>
          </w:tcPr>
          <w:p>
            <w:pPr>
              <w:keepNext/>
              <w:widowControl/>
              <w:spacing w:line="240" w:lineRule="auto" w:before="40" w:after="40"/>
              <w:jc w:val="left"/>
            </w:pPr>
            <w:r>
              <w:rPr>
                <w:rFonts w:ascii="Times New Roman" w:hAnsi="Times New Roman"/>
                <w:b/>
                <w:color w:val="000000"/>
                <w:sz w:val="22"/>
              </w:rPr>
              <w:t>Экспортер</w:t>
            </w:r>
          </w:p>
        </w:tc>
        <w:tc>
          <w:tcPr>
            <w:tcW w:type="dxa" w:w="2268"/>
            <w:vAlign w:val="center"/>
            <w:shd w:fill="FFFFFF" w:val="clear"/>
          </w:tcPr>
          <w:p>
            <w:pPr>
              <w:keepNext/>
              <w:widowControl/>
              <w:spacing w:line="240" w:lineRule="auto" w:before="40" w:after="40"/>
              <w:jc w:val="center"/>
            </w:pPr>
            <w:r>
              <w:rPr>
                <w:rFonts w:ascii="Times New Roman" w:hAnsi="Times New Roman"/>
                <w:b/>
                <w:color w:val="000000"/>
                <w:sz w:val="22"/>
              </w:rPr>
              <w:t>Изменение SD, п.п.</w:t>
            </w:r>
          </w:p>
        </w:tc>
        <w:tc>
          <w:tcPr>
            <w:tcW w:type="dxa" w:w="2665"/>
            <w:vAlign w:val="center"/>
            <w:shd w:fill="FFFFFF" w:val="clear"/>
          </w:tcPr>
          <w:p>
            <w:pPr>
              <w:keepNext/>
              <w:widowControl/>
              <w:spacing w:line="240" w:lineRule="auto" w:before="40" w:after="40"/>
              <w:jc w:val="center"/>
            </w:pPr>
            <w:r>
              <w:rPr>
                <w:rFonts w:ascii="Times New Roman" w:hAnsi="Times New Roman"/>
                <w:b/>
                <w:color w:val="000000"/>
                <w:sz w:val="22"/>
              </w:rPr>
              <w:t>Товарный вклад, п.п.²</w:t>
            </w:r>
          </w:p>
        </w:tc>
        <w:tc>
          <w:tcPr>
            <w:tcW w:type="dxa" w:w="2665"/>
            <w:vAlign w:val="center"/>
            <w:shd w:fill="FFFFFF" w:val="clear"/>
          </w:tcPr>
          <w:p>
            <w:pPr>
              <w:keepNext/>
              <w:widowControl/>
              <w:spacing w:line="240" w:lineRule="auto" w:before="40" w:after="40"/>
              <w:jc w:val="center"/>
            </w:pPr>
            <w:r>
              <w:rPr>
                <w:rFonts w:ascii="Times New Roman" w:hAnsi="Times New Roman"/>
                <w:b/>
                <w:color w:val="000000"/>
                <w:sz w:val="22"/>
              </w:rPr>
              <w:t>География, п.п.²</w:t>
            </w:r>
          </w:p>
        </w:tc>
      </w:tr>
      <w:tr>
        <w:trPr>
          <w:cantSplit/>
        </w:trPr>
        <w:tc>
          <w:tcPr>
            <w:tcW w:type="dxa" w:w="1757"/>
            <w:vAlign w:val="center"/>
            <w:shd w:fill="FFFFFF" w:val="clear"/>
          </w:tcPr>
          <w:p>
            <w:pPr>
              <w:keepNext/>
              <w:widowControl/>
              <w:spacing w:line="240" w:lineRule="auto" w:before="40" w:after="40"/>
              <w:jc w:val="left"/>
            </w:pPr>
            <w:r>
              <w:rPr>
                <w:rFonts w:ascii="Times New Roman" w:hAnsi="Times New Roman"/>
                <w:b w:val="0"/>
                <w:color w:val="000000"/>
                <w:sz w:val="22"/>
              </w:rPr>
              <w:t>Япония</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−0,26</w:t>
              <w:br/>
              <w:t>[−1,27; 0,89]</w:t>
            </w:r>
          </w:p>
        </w:tc>
        <w:tc>
          <w:tcPr>
            <w:tcW w:type="dxa" w:w="2665"/>
            <w:vAlign w:val="center"/>
            <w:shd w:fill="FFFFFF" w:val="clear"/>
          </w:tcPr>
          <w:p>
            <w:pPr>
              <w:keepNext/>
              <w:widowControl/>
              <w:spacing w:line="240" w:lineRule="auto" w:before="40" w:after="40"/>
              <w:jc w:val="center"/>
            </w:pPr>
            <w:r>
              <w:rPr>
                <w:rFonts w:ascii="Times New Roman" w:hAnsi="Times New Roman"/>
                <w:b w:val="0"/>
                <w:color w:val="000000"/>
                <w:sz w:val="22"/>
              </w:rPr>
              <w:t>+5,17</w:t>
              <w:br/>
              <w:t>[−4,31; 14,19]</w:t>
            </w:r>
          </w:p>
        </w:tc>
        <w:tc>
          <w:tcPr>
            <w:tcW w:type="dxa" w:w="2665"/>
            <w:vAlign w:val="center"/>
            <w:shd w:fill="FFFFFF" w:val="clear"/>
          </w:tcPr>
          <w:p>
            <w:pPr>
              <w:keepNext/>
              <w:widowControl/>
              <w:spacing w:line="240" w:lineRule="auto" w:before="40" w:after="40"/>
              <w:jc w:val="center"/>
            </w:pPr>
            <w:r>
              <w:rPr>
                <w:rFonts w:ascii="Times New Roman" w:hAnsi="Times New Roman"/>
                <w:b w:val="0"/>
                <w:color w:val="000000"/>
                <w:sz w:val="22"/>
              </w:rPr>
              <w:t>−10,41</w:t>
              <w:br/>
              <w:t>[−23,77; 5,21]</w:t>
            </w:r>
          </w:p>
        </w:tc>
      </w:tr>
      <w:tr>
        <w:trPr>
          <w:cantSplit/>
        </w:trPr>
        <w:tc>
          <w:tcPr>
            <w:tcW w:type="dxa" w:w="1757"/>
            <w:vAlign w:val="center"/>
            <w:shd w:fill="FFFFFF" w:val="clear"/>
          </w:tcPr>
          <w:p>
            <w:pPr>
              <w:keepNext/>
              <w:widowControl/>
              <w:spacing w:line="240" w:lineRule="auto" w:before="40" w:after="40"/>
              <w:jc w:val="left"/>
            </w:pPr>
            <w:r>
              <w:rPr>
                <w:rFonts w:ascii="Times New Roman" w:hAnsi="Times New Roman"/>
                <w:b w:val="0"/>
                <w:color w:val="000000"/>
                <w:sz w:val="22"/>
              </w:rPr>
              <w:t>Республика Корея</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−1,27</w:t>
              <w:br/>
              <w:t>[−3,00; 0,42]</w:t>
            </w:r>
          </w:p>
        </w:tc>
        <w:tc>
          <w:tcPr>
            <w:tcW w:type="dxa" w:w="2665"/>
            <w:vAlign w:val="center"/>
            <w:shd w:fill="FFFFFF" w:val="clear"/>
          </w:tcPr>
          <w:p>
            <w:pPr>
              <w:keepNext/>
              <w:widowControl/>
              <w:spacing w:line="240" w:lineRule="auto" w:before="40" w:after="40"/>
              <w:jc w:val="center"/>
            </w:pPr>
            <w:r>
              <w:rPr>
                <w:rFonts w:ascii="Times New Roman" w:hAnsi="Times New Roman"/>
                <w:b w:val="0"/>
                <w:color w:val="000000"/>
                <w:sz w:val="22"/>
              </w:rPr>
              <w:t>−172,92</w:t>
              <w:br/>
              <w:t>[−241,23; −67,54]</w:t>
            </w:r>
          </w:p>
        </w:tc>
        <w:tc>
          <w:tcPr>
            <w:tcW w:type="dxa" w:w="2665"/>
            <w:vAlign w:val="center"/>
            <w:shd w:fill="FFFFFF" w:val="clear"/>
          </w:tcPr>
          <w:p>
            <w:pPr>
              <w:keepNext/>
              <w:widowControl/>
              <w:spacing w:line="240" w:lineRule="auto" w:before="40" w:after="40"/>
              <w:jc w:val="center"/>
            </w:pPr>
            <w:r>
              <w:rPr>
                <w:rFonts w:ascii="Times New Roman" w:hAnsi="Times New Roman"/>
                <w:b w:val="0"/>
                <w:color w:val="000000"/>
                <w:sz w:val="22"/>
              </w:rPr>
              <w:t>+98,84</w:t>
              <w:br/>
              <w:t>[−1,67; 168,52]</w:t>
            </w:r>
          </w:p>
        </w:tc>
      </w:tr>
    </w:tbl>
    <w:p>
      <w:pPr>
        <w:widowControl/>
        <w:spacing w:line="240" w:lineRule="auto" w:after="140" w:before="80"/>
      </w:pPr>
      <w:r>
        <w:rPr>
          <w:rFonts w:ascii="Times New Roman" w:hAnsi="Times New Roman"/>
          <w:b w:val="0"/>
          <w:color w:val="000000"/>
          <w:sz w:val="20"/>
        </w:rPr>
        <w:t>Источник: расчеты автора. В квадратных скобках 95%-интервалы; 1 999 парных блочных повторов, блок 12 месяцев. Вклады относятся к дисперсии.</w:t>
      </w:r>
    </w:p>
    <w:p>
      <w:pPr>
        <w:widowControl/>
        <w:spacing w:line="276" w:lineRule="auto" w:after="120"/>
      </w:pPr>
      <w:r>
        <w:rPr>
          <w:rFonts w:ascii="Times New Roman" w:hAnsi="Times New Roman"/>
          <w:b w:val="0"/>
          <w:color w:val="000000"/>
          <w:sz w:val="24"/>
        </w:rPr>
        <w:t>Основные 95%-интервалы изменения стандартного отклонения включают ноль: [−1,27; 0,89] для Японии и [−3,00; 0,42] для Кореи. Поэтому точечное снижение не интерпретируется как уверенно установленное общее повышение устойчивости. При этом товарный вклад Кореи отрицателен, и его основной интервал [−241,23; −67,54] п.п.² не пересекает ноль.</w:t>
      </w:r>
    </w:p>
    <w:p>
      <w:pPr>
        <w:widowControl/>
        <w:spacing w:line="276" w:lineRule="auto" w:after="120"/>
      </w:pPr>
      <w:r>
        <w:rPr>
          <w:rFonts w:ascii="Times New Roman" w:hAnsi="Times New Roman"/>
          <w:b w:val="0"/>
          <w:color w:val="000000"/>
          <w:sz w:val="24"/>
        </w:rPr>
        <w:t>HHI на расчетной сетке также снижается: с 0,177147 до 0,175384 у Японии и с 0,273098 до 0,217672 у Кореи. Следовательно, расхождение концентрационного и ковариационного сигналов не сводится к использованию более подробной географии при расчете HHI. Для Кореи меньшее значение индекса сочетается с положительным точечным географическим вкладом в дисперсию.</w:t>
      </w:r>
    </w:p>
    <w:p>
      <w:pPr>
        <w:widowControl/>
        <w:spacing w:line="276" w:lineRule="auto" w:after="120"/>
      </w:pPr>
      <w:r>
        <w:rPr>
          <w:rFonts w:ascii="Times New Roman" w:hAnsi="Times New Roman"/>
          <w:b w:val="0"/>
          <w:color w:val="000000"/>
          <w:sz w:val="24"/>
        </w:rPr>
        <w:t>Средний исторический темп условного индекса при структуре 2017/2024 составляет 1,12/4,18% у Японии и 1,81/7,65% у Кореи. Эти средние являются описательной характеристикой тех же фиксированных структур. Они не трактуются как прогноз доходности, прибыльности или экономического благосостояния.</w:t>
      </w:r>
    </w:p>
    <w:p>
      <w:pPr>
        <w:widowControl/>
        <w:spacing w:line="276" w:lineRule="auto" w:after="120"/>
      </w:pPr>
      <w:r>
        <w:rPr>
          <w:rFonts w:ascii="Times New Roman" w:hAnsi="Times New Roman"/>
          <w:b w:val="0"/>
          <w:color w:val="000000"/>
          <w:sz w:val="24"/>
        </w:rPr>
        <w:t>Для контекста на рисунке показаны фактические симметричные годовые темпы совокупной экспортной стоимости. Их веса меняются вместе с реальными потоками; это отдельный ряд, а не один из условных индексов таблицы.</w:t>
      </w:r>
    </w:p>
    <w:p>
      <w:pPr>
        <w:keepNext/>
        <w:spacing w:after="60"/>
        <w:jc w:val="center"/>
      </w:pPr>
      <w:r>
        <w:drawing>
          <wp:inline xmlns:a="http://schemas.openxmlformats.org/drawingml/2006/main" xmlns:pic="http://schemas.openxmlformats.org/drawingml/2006/picture">
            <wp:extent cx="5940000" cy="2459531"/>
            <wp:docPr id="1" name="Picture 1" descr="График фактического роста экспорта двух стран"/>
            <wp:cNvGraphicFramePr>
              <a:graphicFrameLocks noChangeAspect="1"/>
            </wp:cNvGraphicFramePr>
            <a:graphic>
              <a:graphicData uri="http://schemas.openxmlformats.org/drawingml/2006/picture">
                <pic:pic>
                  <pic:nvPicPr>
                    <pic:cNvPr id="0" name="observed.png"/>
                    <pic:cNvPicPr/>
                  </pic:nvPicPr>
                  <pic:blipFill>
                    <a:blip r:embed="rId9"/>
                    <a:stretch>
                      <a:fillRect/>
                    </a:stretch>
                  </pic:blipFill>
                  <pic:spPr>
                    <a:xfrm>
                      <a:off x="0" y="0"/>
                      <a:ext cx="5940000" cy="2459531"/>
                    </a:xfrm>
                    <a:prstGeom prst="rect"/>
                  </pic:spPr>
                </pic:pic>
              </a:graphicData>
            </a:graphic>
          </wp:inline>
        </w:drawing>
      </w:r>
    </w:p>
    <w:p>
      <w:pPr>
        <w:keepNext/>
        <w:widowControl/>
        <w:spacing w:line="276" w:lineRule="auto" w:after="120"/>
      </w:pPr>
      <w:r>
        <w:rPr>
          <w:rFonts w:ascii="Times New Roman" w:hAnsi="Times New Roman"/>
          <w:b w:val="0"/>
          <w:color w:val="000000"/>
          <w:sz w:val="22"/>
        </w:rPr>
        <w:t>Рисунок 1 Фактический рост стоимости экспорта готовых интегральных схем</w:t>
      </w:r>
    </w:p>
    <w:p>
      <w:pPr>
        <w:widowControl/>
        <w:spacing w:line="240" w:lineRule="auto" w:after="120"/>
      </w:pPr>
      <w:r>
        <w:rPr>
          <w:rFonts w:ascii="Times New Roman" w:hAnsi="Times New Roman"/>
          <w:b w:val="0"/>
          <w:color w:val="000000"/>
          <w:sz w:val="20"/>
        </w:rPr>
        <w:t>Источник: UN Comtrade, расчеты автора. Четыре HS6, январь 2018 — декабрь 2024 года.</w:t>
      </w:r>
    </w:p>
    <w:p>
      <w:pPr>
        <w:pStyle w:val="Heading1"/>
        <w:widowControl/>
        <w:spacing w:line="276" w:lineRule="auto" w:after="120"/>
      </w:pPr>
      <w:r>
        <w:rPr>
          <w:rFonts w:ascii="Times New Roman" w:hAnsi="Times New Roman"/>
          <w:b/>
          <w:color w:val="000000"/>
          <w:sz w:val="24"/>
        </w:rPr>
        <w:t>7 Объяснение товарного результата Кореи</w:t>
      </w:r>
    </w:p>
    <w:p>
      <w:pPr>
        <w:widowControl/>
        <w:spacing w:line="276" w:lineRule="auto" w:after="120"/>
      </w:pPr>
      <w:r>
        <w:rPr>
          <w:rFonts w:ascii="Times New Roman" w:hAnsi="Times New Roman"/>
          <w:b w:val="0"/>
          <w:color w:val="000000"/>
          <w:sz w:val="24"/>
        </w:rPr>
        <w:t>После получения основной оценки выполнено дополнительное разложение товарного вклада. Изменение общей доли памяти отделено от перераспределения остальных категорий между собой. Для каждой из двух географий усредняются два порядка товарных замен, затем результаты усредняются между начальной и конечной географией. Обе товарные части точно складываются в ранее полученный товарный вклад; географический вклад основной модели сохраняется.</w:t>
      </w:r>
    </w:p>
    <w:p>
      <w:pPr>
        <w:keepNext/>
        <w:widowControl/>
        <w:spacing w:line="276" w:lineRule="auto" w:after="80" w:before="100"/>
      </w:pPr>
      <w:r>
        <w:rPr>
          <w:rFonts w:ascii="Times New Roman" w:hAnsi="Times New Roman"/>
          <w:b w:val="0"/>
          <w:color w:val="000000"/>
          <w:sz w:val="22"/>
        </w:rPr>
        <w:t>Таблица 5 Дополнительное разложение товарного вклада</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3458"/>
        <w:gridCol w:w="2948"/>
        <w:gridCol w:w="2948"/>
      </w:tblGrid>
      <w:tr>
        <w:trPr>
          <w:tblHeader/>
          <w:cantSplit/>
        </w:trPr>
        <w:tc>
          <w:tcPr>
            <w:tcW w:type="dxa" w:w="3458"/>
            <w:vAlign w:val="center"/>
            <w:shd w:fill="FFFFFF" w:val="clear"/>
          </w:tcPr>
          <w:p>
            <w:pPr>
              <w:keepNext/>
              <w:widowControl/>
              <w:spacing w:line="240" w:lineRule="auto" w:before="40" w:after="40"/>
              <w:jc w:val="left"/>
            </w:pPr>
            <w:r>
              <w:rPr>
                <w:rFonts w:ascii="Times New Roman" w:hAnsi="Times New Roman"/>
                <w:b/>
                <w:color w:val="000000"/>
                <w:sz w:val="22"/>
              </w:rPr>
              <w:t>Часть изменения</w:t>
            </w:r>
          </w:p>
        </w:tc>
        <w:tc>
          <w:tcPr>
            <w:tcW w:type="dxa" w:w="2948"/>
            <w:vAlign w:val="center"/>
            <w:shd w:fill="FFFFFF" w:val="clear"/>
          </w:tcPr>
          <w:p>
            <w:pPr>
              <w:keepNext/>
              <w:widowControl/>
              <w:spacing w:line="240" w:lineRule="auto" w:before="40" w:after="40"/>
              <w:jc w:val="center"/>
            </w:pPr>
            <w:r>
              <w:rPr>
                <w:rFonts w:ascii="Times New Roman" w:hAnsi="Times New Roman"/>
                <w:b/>
                <w:color w:val="000000"/>
                <w:sz w:val="22"/>
              </w:rPr>
              <w:t>Япония, п.п.²</w:t>
            </w:r>
          </w:p>
        </w:tc>
        <w:tc>
          <w:tcPr>
            <w:tcW w:type="dxa" w:w="2948"/>
            <w:vAlign w:val="center"/>
            <w:shd w:fill="FFFFFF" w:val="clear"/>
          </w:tcPr>
          <w:p>
            <w:pPr>
              <w:keepNext/>
              <w:widowControl/>
              <w:spacing w:line="240" w:lineRule="auto" w:before="40" w:after="40"/>
              <w:jc w:val="center"/>
            </w:pPr>
            <w:r>
              <w:rPr>
                <w:rFonts w:ascii="Times New Roman" w:hAnsi="Times New Roman"/>
                <w:b/>
                <w:color w:val="000000"/>
                <w:sz w:val="22"/>
              </w:rPr>
              <w:t>Корея, п.п.²</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Доля памяти</w:t>
            </w:r>
          </w:p>
        </w:tc>
        <w:tc>
          <w:tcPr>
            <w:tcW w:type="dxa" w:w="2948"/>
            <w:vAlign w:val="center"/>
            <w:shd w:fill="FFFFFF" w:val="clear"/>
          </w:tcPr>
          <w:p>
            <w:pPr>
              <w:keepNext/>
              <w:widowControl/>
              <w:spacing w:line="240" w:lineRule="auto" w:before="40" w:after="40"/>
              <w:jc w:val="center"/>
            </w:pPr>
            <w:r>
              <w:rPr>
                <w:rFonts w:ascii="Times New Roman" w:hAnsi="Times New Roman"/>
                <w:b w:val="0"/>
                <w:color w:val="000000"/>
                <w:sz w:val="22"/>
              </w:rPr>
              <w:t>+5,88</w:t>
              <w:br/>
              <w:t>[0,97; 8,95]</w:t>
            </w:r>
          </w:p>
        </w:tc>
        <w:tc>
          <w:tcPr>
            <w:tcW w:type="dxa" w:w="2948"/>
            <w:vAlign w:val="center"/>
            <w:shd w:fill="FFFFFF" w:val="clear"/>
          </w:tcPr>
          <w:p>
            <w:pPr>
              <w:keepNext/>
              <w:widowControl/>
              <w:spacing w:line="240" w:lineRule="auto" w:before="40" w:after="40"/>
              <w:jc w:val="center"/>
            </w:pPr>
            <w:r>
              <w:rPr>
                <w:rFonts w:ascii="Times New Roman" w:hAnsi="Times New Roman"/>
                <w:b w:val="0"/>
                <w:color w:val="000000"/>
                <w:sz w:val="22"/>
              </w:rPr>
              <w:t>−165,18</w:t>
              <w:br/>
              <w:t>[−228,22; −66,29]</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Состав остальных категорий</w:t>
            </w:r>
          </w:p>
        </w:tc>
        <w:tc>
          <w:tcPr>
            <w:tcW w:type="dxa" w:w="2948"/>
            <w:vAlign w:val="center"/>
            <w:shd w:fill="FFFFFF" w:val="clear"/>
          </w:tcPr>
          <w:p>
            <w:pPr>
              <w:keepNext/>
              <w:widowControl/>
              <w:spacing w:line="240" w:lineRule="auto" w:before="40" w:after="40"/>
              <w:jc w:val="center"/>
            </w:pPr>
            <w:r>
              <w:rPr>
                <w:rFonts w:ascii="Times New Roman" w:hAnsi="Times New Roman"/>
                <w:b w:val="0"/>
                <w:color w:val="000000"/>
                <w:sz w:val="22"/>
              </w:rPr>
              <w:t>−0,71</w:t>
              <w:br/>
              <w:t>[−7,86; 6,74]</w:t>
            </w:r>
          </w:p>
        </w:tc>
        <w:tc>
          <w:tcPr>
            <w:tcW w:type="dxa" w:w="2948"/>
            <w:vAlign w:val="center"/>
            <w:shd w:fill="FFFFFF" w:val="clear"/>
          </w:tcPr>
          <w:p>
            <w:pPr>
              <w:keepNext/>
              <w:widowControl/>
              <w:spacing w:line="240" w:lineRule="auto" w:before="40" w:after="40"/>
              <w:jc w:val="center"/>
            </w:pPr>
            <w:r>
              <w:rPr>
                <w:rFonts w:ascii="Times New Roman" w:hAnsi="Times New Roman"/>
                <w:b w:val="0"/>
                <w:color w:val="000000"/>
                <w:sz w:val="22"/>
              </w:rPr>
              <w:t>−7,74</w:t>
              <w:br/>
              <w:t>[−17,69; 3,22]</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География</w:t>
            </w:r>
          </w:p>
        </w:tc>
        <w:tc>
          <w:tcPr>
            <w:tcW w:type="dxa" w:w="2948"/>
            <w:vAlign w:val="center"/>
            <w:shd w:fill="FFFFFF" w:val="clear"/>
          </w:tcPr>
          <w:p>
            <w:pPr>
              <w:keepNext/>
              <w:widowControl/>
              <w:spacing w:line="240" w:lineRule="auto" w:before="40" w:after="40"/>
              <w:jc w:val="center"/>
            </w:pPr>
            <w:r>
              <w:rPr>
                <w:rFonts w:ascii="Times New Roman" w:hAnsi="Times New Roman"/>
                <w:b w:val="0"/>
                <w:color w:val="000000"/>
                <w:sz w:val="22"/>
              </w:rPr>
              <w:t>−10,41</w:t>
              <w:br/>
              <w:t>[−23,77; 5,21]</w:t>
            </w:r>
          </w:p>
        </w:tc>
        <w:tc>
          <w:tcPr>
            <w:tcW w:type="dxa" w:w="2948"/>
            <w:vAlign w:val="center"/>
            <w:shd w:fill="FFFFFF" w:val="clear"/>
          </w:tcPr>
          <w:p>
            <w:pPr>
              <w:keepNext/>
              <w:widowControl/>
              <w:spacing w:line="240" w:lineRule="auto" w:before="40" w:after="40"/>
              <w:jc w:val="center"/>
            </w:pPr>
            <w:r>
              <w:rPr>
                <w:rFonts w:ascii="Times New Roman" w:hAnsi="Times New Roman"/>
                <w:b w:val="0"/>
                <w:color w:val="000000"/>
                <w:sz w:val="22"/>
              </w:rPr>
              <w:t>+98,84</w:t>
              <w:br/>
              <w:t>[−1,67; 168,52]</w:t>
            </w:r>
          </w:p>
        </w:tc>
      </w:tr>
    </w:tbl>
    <w:p>
      <w:pPr>
        <w:widowControl/>
        <w:spacing w:line="240" w:lineRule="auto" w:after="140" w:before="80"/>
      </w:pPr>
      <w:r>
        <w:rPr>
          <w:rFonts w:ascii="Times New Roman" w:hAnsi="Times New Roman"/>
          <w:b w:val="0"/>
          <w:color w:val="000000"/>
          <w:sz w:val="20"/>
        </w:rPr>
        <w:t>Источник: расчеты автора. Поисковая диагностика после основной оценки. 95%-интервалы при блоке 12 месяцев; без поправки на множество сравнений.</w:t>
      </w:r>
    </w:p>
    <w:p>
      <w:pPr>
        <w:widowControl/>
        <w:spacing w:line="276" w:lineRule="auto" w:after="120"/>
      </w:pPr>
      <w:r>
        <w:rPr>
          <w:rFonts w:ascii="Times New Roman" w:hAnsi="Times New Roman"/>
          <w:b w:val="0"/>
          <w:color w:val="000000"/>
          <w:sz w:val="24"/>
        </w:rPr>
        <w:t>Снижение доли памяти Кореи с 70,49 до 60,11% дает −165,18 п.п.² в дополнительном разложении. Это 95,52% исходного отрицательного товарного вклада. Перераспределение внутри остальных категорий дает еще −7,74 п.п.², но его интервал включает ноль. Следовательно, основное объяснение товарного результата в этой модели связано именно с долей памяти.</w:t>
      </w:r>
    </w:p>
    <w:p>
      <w:pPr>
        <w:widowControl/>
        <w:spacing w:line="276" w:lineRule="auto" w:after="120"/>
      </w:pPr>
      <w:r>
        <w:rPr>
          <w:rFonts w:ascii="Times New Roman" w:hAnsi="Times New Roman"/>
          <w:b w:val="0"/>
          <w:color w:val="000000"/>
          <w:sz w:val="24"/>
        </w:rPr>
        <w:t>Отрицательный вклад доли памяти сохраняется во всех восьми доступных вариантах того же сравнения 2017/2024. Отдельно он отрицателен в двух временных проверках структур 2017/2020. При блоке 12 месяцев верхние границы дополнительных интервалов отрицательны во всех этих вариантах. Проверки связаны между собой и используют одну базу, поэтому не считаются независимыми подтверждениями.</w:t>
      </w:r>
    </w:p>
    <w:p>
      <w:pPr>
        <w:widowControl/>
        <w:spacing w:line="276" w:lineRule="auto" w:after="120"/>
      </w:pPr>
      <w:r>
        <w:rPr>
          <w:rFonts w:ascii="Times New Roman" w:hAnsi="Times New Roman"/>
          <w:b w:val="0"/>
          <w:color w:val="000000"/>
          <w:sz w:val="24"/>
        </w:rPr>
        <w:t>У Японии доля памяти увеличилась с 38,98 до 42,46%, что дает положительный вклад в основном дополнительном разложении. Однако при месячном лаге один знак меняется. Результат поэтому относится к выбранному годичному измерению роста и не формулируется как универсальный эффект специализации на памяти.</w:t>
      </w:r>
    </w:p>
    <w:p>
      <w:pPr>
        <w:widowControl/>
        <w:spacing w:line="276" w:lineRule="auto" w:after="120"/>
      </w:pPr>
      <w:r>
        <w:rPr>
          <w:rFonts w:ascii="Times New Roman" w:hAnsi="Times New Roman"/>
          <w:b w:val="0"/>
          <w:color w:val="000000"/>
          <w:sz w:val="24"/>
        </w:rPr>
        <w:t>Это разложение имеет поисковый характер, поскольку выполнено после просмотра основного результата. Его интервалы поточечные, без поправки на множество сравнений. Экономическая роль памяти согласуется с выводами KDI и Bank of Korea [9; 10], а полученные величины уточняют ее значение в нашей стоимостной структуре и выбранном периоде.</w:t>
      </w:r>
    </w:p>
    <w:p>
      <w:pPr>
        <w:pStyle w:val="Heading1"/>
        <w:widowControl/>
        <w:spacing w:line="276" w:lineRule="auto" w:after="120"/>
      </w:pPr>
      <w:r>
        <w:rPr>
          <w:rFonts w:ascii="Times New Roman" w:hAnsi="Times New Roman"/>
          <w:b/>
          <w:color w:val="000000"/>
          <w:sz w:val="24"/>
        </w:rPr>
        <w:t>8 География и совместные колебания поставок</w:t>
      </w:r>
    </w:p>
    <w:p>
      <w:pPr>
        <w:widowControl/>
        <w:spacing w:line="276" w:lineRule="auto" w:after="120"/>
      </w:pPr>
      <w:r>
        <w:rPr>
          <w:rFonts w:ascii="Times New Roman" w:hAnsi="Times New Roman"/>
          <w:b w:val="0"/>
          <w:color w:val="000000"/>
          <w:sz w:val="24"/>
        </w:rPr>
        <w:t>В дополнительной диагностике географический вклад разделен на часть, связанную с собственными дисперсиями ячеек, и часть, связанную с их перекрестными ковариациями. По отдельным ячейкам перераспределение Кореи уменьшает расчетную дисперсию, но положительный перекрестный вклад больше по размеру.</w:t>
      </w:r>
    </w:p>
    <w:p>
      <w:pPr>
        <w:keepNext/>
        <w:widowControl/>
        <w:spacing w:line="276" w:lineRule="auto" w:after="80" w:before="100"/>
      </w:pPr>
      <w:r>
        <w:rPr>
          <w:rFonts w:ascii="Times New Roman" w:hAnsi="Times New Roman"/>
          <w:b w:val="0"/>
          <w:color w:val="000000"/>
          <w:sz w:val="22"/>
        </w:rPr>
        <w:t>Таблица 6 Компоненты географического вклада Кореи</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4025"/>
        <w:gridCol w:w="2041"/>
        <w:gridCol w:w="3288"/>
      </w:tblGrid>
      <w:tr>
        <w:trPr>
          <w:tblHeader/>
          <w:cantSplit/>
        </w:trPr>
        <w:tc>
          <w:tcPr>
            <w:tcW w:type="dxa" w:w="4025"/>
            <w:vAlign w:val="center"/>
            <w:shd w:fill="FFFFFF" w:val="clear"/>
          </w:tcPr>
          <w:p>
            <w:pPr>
              <w:keepNext/>
              <w:widowControl/>
              <w:spacing w:line="240" w:lineRule="auto" w:before="40" w:after="40"/>
              <w:jc w:val="left"/>
            </w:pPr>
            <w:r>
              <w:rPr>
                <w:rFonts w:ascii="Times New Roman" w:hAnsi="Times New Roman"/>
                <w:b/>
                <w:color w:val="000000"/>
                <w:sz w:val="22"/>
              </w:rPr>
              <w:t>Компонент</w:t>
            </w:r>
          </w:p>
        </w:tc>
        <w:tc>
          <w:tcPr>
            <w:tcW w:type="dxa" w:w="2041"/>
            <w:vAlign w:val="center"/>
            <w:shd w:fill="FFFFFF" w:val="clear"/>
          </w:tcPr>
          <w:p>
            <w:pPr>
              <w:keepNext/>
              <w:widowControl/>
              <w:spacing w:line="240" w:lineRule="auto" w:before="40" w:after="40"/>
              <w:jc w:val="center"/>
            </w:pPr>
            <w:r>
              <w:rPr>
                <w:rFonts w:ascii="Times New Roman" w:hAnsi="Times New Roman"/>
                <w:b/>
                <w:color w:val="000000"/>
                <w:sz w:val="22"/>
              </w:rPr>
              <w:t>Вклад, п.п.²</w:t>
            </w:r>
          </w:p>
        </w:tc>
        <w:tc>
          <w:tcPr>
            <w:tcW w:type="dxa" w:w="3288"/>
            <w:vAlign w:val="center"/>
            <w:shd w:fill="FFFFFF" w:val="clear"/>
          </w:tcPr>
          <w:p>
            <w:pPr>
              <w:keepNext/>
              <w:widowControl/>
              <w:spacing w:line="240" w:lineRule="auto" w:before="40" w:after="40"/>
              <w:jc w:val="center"/>
            </w:pPr>
            <w:r>
              <w:rPr>
                <w:rFonts w:ascii="Times New Roman" w:hAnsi="Times New Roman"/>
                <w:b/>
                <w:color w:val="000000"/>
                <w:sz w:val="22"/>
              </w:rPr>
              <w:t>95%-интервал</w:t>
            </w:r>
          </w:p>
        </w:tc>
      </w:tr>
      <w:tr>
        <w:trPr>
          <w:cantSplit/>
        </w:trPr>
        <w:tc>
          <w:tcPr>
            <w:tcW w:type="dxa" w:w="4025"/>
            <w:vAlign w:val="center"/>
            <w:shd w:fill="FFFFFF" w:val="clear"/>
          </w:tcPr>
          <w:p>
            <w:pPr>
              <w:keepNext/>
              <w:widowControl/>
              <w:spacing w:line="240" w:lineRule="auto" w:before="40" w:after="40"/>
              <w:jc w:val="left"/>
            </w:pPr>
            <w:r>
              <w:rPr>
                <w:rFonts w:ascii="Times New Roman" w:hAnsi="Times New Roman"/>
                <w:b w:val="0"/>
                <w:color w:val="000000"/>
                <w:sz w:val="22"/>
              </w:rPr>
              <w:t>Собственные дисперсии</w:t>
            </w:r>
          </w:p>
        </w:tc>
        <w:tc>
          <w:tcPr>
            <w:tcW w:type="dxa" w:w="2041"/>
            <w:vAlign w:val="center"/>
            <w:shd w:fill="FFFFFF" w:val="clear"/>
          </w:tcPr>
          <w:p>
            <w:pPr>
              <w:keepNext/>
              <w:widowControl/>
              <w:spacing w:line="240" w:lineRule="auto" w:before="40" w:after="40"/>
              <w:jc w:val="center"/>
            </w:pPr>
            <w:r>
              <w:rPr>
                <w:rFonts w:ascii="Times New Roman" w:hAnsi="Times New Roman"/>
                <w:b w:val="0"/>
                <w:color w:val="000000"/>
                <w:sz w:val="22"/>
              </w:rPr>
              <w:t>−34,73</w:t>
            </w:r>
          </w:p>
        </w:tc>
        <w:tc>
          <w:tcPr>
            <w:tcW w:type="dxa" w:w="3288"/>
            <w:vAlign w:val="center"/>
            <w:shd w:fill="FFFFFF" w:val="clear"/>
          </w:tcPr>
          <w:p>
            <w:pPr>
              <w:keepNext/>
              <w:widowControl/>
              <w:spacing w:line="240" w:lineRule="auto" w:before="40" w:after="40"/>
              <w:jc w:val="center"/>
            </w:pPr>
            <w:r>
              <w:rPr>
                <w:rFonts w:ascii="Times New Roman" w:hAnsi="Times New Roman"/>
                <w:b w:val="0"/>
                <w:color w:val="000000"/>
                <w:sz w:val="22"/>
              </w:rPr>
              <w:t>[−67,97; 1,50]</w:t>
            </w:r>
          </w:p>
        </w:tc>
      </w:tr>
      <w:tr>
        <w:trPr>
          <w:cantSplit/>
        </w:trPr>
        <w:tc>
          <w:tcPr>
            <w:tcW w:type="dxa" w:w="4025"/>
            <w:vAlign w:val="center"/>
            <w:shd w:fill="FFFFFF" w:val="clear"/>
          </w:tcPr>
          <w:p>
            <w:pPr>
              <w:keepNext/>
              <w:widowControl/>
              <w:spacing w:line="240" w:lineRule="auto" w:before="40" w:after="40"/>
              <w:jc w:val="left"/>
            </w:pPr>
            <w:r>
              <w:rPr>
                <w:rFonts w:ascii="Times New Roman" w:hAnsi="Times New Roman"/>
                <w:b w:val="0"/>
                <w:color w:val="000000"/>
                <w:sz w:val="22"/>
              </w:rPr>
              <w:t>Перекрестные ковариации</w:t>
            </w:r>
          </w:p>
        </w:tc>
        <w:tc>
          <w:tcPr>
            <w:tcW w:type="dxa" w:w="2041"/>
            <w:vAlign w:val="center"/>
            <w:shd w:fill="FFFFFF" w:val="clear"/>
          </w:tcPr>
          <w:p>
            <w:pPr>
              <w:keepNext/>
              <w:widowControl/>
              <w:spacing w:line="240" w:lineRule="auto" w:before="40" w:after="40"/>
              <w:jc w:val="center"/>
            </w:pPr>
            <w:r>
              <w:rPr>
                <w:rFonts w:ascii="Times New Roman" w:hAnsi="Times New Roman"/>
                <w:b w:val="0"/>
                <w:color w:val="000000"/>
                <w:sz w:val="22"/>
              </w:rPr>
              <w:t>+133,57</w:t>
            </w:r>
          </w:p>
        </w:tc>
        <w:tc>
          <w:tcPr>
            <w:tcW w:type="dxa" w:w="3288"/>
            <w:vAlign w:val="center"/>
            <w:shd w:fill="FFFFFF" w:val="clear"/>
          </w:tcPr>
          <w:p>
            <w:pPr>
              <w:keepNext/>
              <w:widowControl/>
              <w:spacing w:line="240" w:lineRule="auto" w:before="40" w:after="40"/>
              <w:jc w:val="center"/>
            </w:pPr>
            <w:r>
              <w:rPr>
                <w:rFonts w:ascii="Times New Roman" w:hAnsi="Times New Roman"/>
                <w:b w:val="0"/>
                <w:color w:val="000000"/>
                <w:sz w:val="22"/>
              </w:rPr>
              <w:t>[24,22; 204,50]</w:t>
            </w:r>
          </w:p>
        </w:tc>
      </w:tr>
      <w:tr>
        <w:trPr>
          <w:cantSplit/>
        </w:trPr>
        <w:tc>
          <w:tcPr>
            <w:tcW w:type="dxa" w:w="4025"/>
            <w:vAlign w:val="center"/>
            <w:shd w:fill="FFFFFF" w:val="clear"/>
          </w:tcPr>
          <w:p>
            <w:pPr>
              <w:keepNext/>
              <w:widowControl/>
              <w:spacing w:line="240" w:lineRule="auto" w:before="40" w:after="40"/>
              <w:jc w:val="left"/>
            </w:pPr>
            <w:r>
              <w:rPr>
                <w:rFonts w:ascii="Times New Roman" w:hAnsi="Times New Roman"/>
                <w:b w:val="0"/>
                <w:color w:val="000000"/>
                <w:sz w:val="22"/>
              </w:rPr>
              <w:t>Общий географический вклад</w:t>
            </w:r>
          </w:p>
        </w:tc>
        <w:tc>
          <w:tcPr>
            <w:tcW w:type="dxa" w:w="2041"/>
            <w:vAlign w:val="center"/>
            <w:shd w:fill="FFFFFF" w:val="clear"/>
          </w:tcPr>
          <w:p>
            <w:pPr>
              <w:keepNext/>
              <w:widowControl/>
              <w:spacing w:line="240" w:lineRule="auto" w:before="40" w:after="40"/>
              <w:jc w:val="center"/>
            </w:pPr>
            <w:r>
              <w:rPr>
                <w:rFonts w:ascii="Times New Roman" w:hAnsi="Times New Roman"/>
                <w:b w:val="0"/>
                <w:color w:val="000000"/>
                <w:sz w:val="22"/>
              </w:rPr>
              <w:t>+98,84</w:t>
            </w:r>
          </w:p>
        </w:tc>
        <w:tc>
          <w:tcPr>
            <w:tcW w:type="dxa" w:w="3288"/>
            <w:vAlign w:val="center"/>
            <w:shd w:fill="FFFFFF" w:val="clear"/>
          </w:tcPr>
          <w:p>
            <w:pPr>
              <w:keepNext/>
              <w:widowControl/>
              <w:spacing w:line="240" w:lineRule="auto" w:before="40" w:after="40"/>
              <w:jc w:val="center"/>
            </w:pPr>
            <w:r>
              <w:rPr>
                <w:rFonts w:ascii="Times New Roman" w:hAnsi="Times New Roman"/>
                <w:b w:val="0"/>
                <w:color w:val="000000"/>
                <w:sz w:val="22"/>
              </w:rPr>
              <w:t>[−1,67; 168,52]</w:t>
            </w:r>
          </w:p>
        </w:tc>
      </w:tr>
    </w:tbl>
    <w:p>
      <w:pPr>
        <w:widowControl/>
        <w:spacing w:line="240" w:lineRule="auto" w:after="140" w:before="80"/>
      </w:pPr>
      <w:r>
        <w:rPr>
          <w:rFonts w:ascii="Times New Roman" w:hAnsi="Times New Roman"/>
          <w:b w:val="0"/>
          <w:color w:val="000000"/>
          <w:sz w:val="20"/>
        </w:rPr>
        <w:t>Источник: расчеты автора. Дополнительная диагностика. Точечные компоненты складываются в общий вклад; границы интервалов не складываются.</w:t>
      </w:r>
    </w:p>
    <w:p>
      <w:pPr>
        <w:widowControl/>
        <w:spacing w:line="276" w:lineRule="auto" w:after="120"/>
      </w:pPr>
      <w:r>
        <w:rPr>
          <w:rFonts w:ascii="Times New Roman" w:hAnsi="Times New Roman"/>
          <w:b w:val="0"/>
          <w:color w:val="000000"/>
          <w:sz w:val="24"/>
        </w:rPr>
        <w:t>Основной положительный перекрестный вклад отражает совместное движение потоков в исторических данных. Он не устанавливает, какой именно внешний шок его вызвал. Совпадение колебаний может быть связано с общими ценовыми и производственными циклами, качеством продукции или другими ненаблюдаемыми факторами. IMF также обращает внимание на значимость ценовой волатильности полупроводников для корейского экспорта [14].</w:t>
      </w:r>
    </w:p>
    <w:p>
      <w:pPr>
        <w:widowControl/>
        <w:spacing w:line="276" w:lineRule="auto" w:after="120"/>
      </w:pPr>
      <w:r>
        <w:rPr>
          <w:rFonts w:ascii="Times New Roman" w:hAnsi="Times New Roman"/>
          <w:b w:val="0"/>
          <w:color w:val="000000"/>
          <w:sz w:val="24"/>
        </w:rPr>
        <w:t>Крупные географические вклады Кореи имеют противоположные знаки. По принятому симметричному правилу атрибуции направления Китай и Гонконг дают отрицательные значения, а Other Asia, nes и Вьетнам — положительные. Полный набор направлений основной сетки приведен в таблице.</w:t>
      </w:r>
    </w:p>
    <w:p>
      <w:pPr>
        <w:keepNext/>
        <w:widowControl/>
        <w:spacing w:line="276" w:lineRule="auto" w:after="80" w:before="100"/>
      </w:pPr>
      <w:r>
        <w:rPr>
          <w:rFonts w:ascii="Times New Roman" w:hAnsi="Times New Roman"/>
          <w:b w:val="0"/>
          <w:color w:val="000000"/>
          <w:sz w:val="22"/>
        </w:rPr>
        <w:t>Таблица 7 Географический вклад Кореи по направлениям</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3458"/>
        <w:gridCol w:w="2268"/>
        <w:gridCol w:w="3628"/>
      </w:tblGrid>
      <w:tr>
        <w:trPr>
          <w:tblHeader/>
          <w:cantSplit/>
        </w:trPr>
        <w:tc>
          <w:tcPr>
            <w:tcW w:type="dxa" w:w="3458"/>
            <w:vAlign w:val="center"/>
            <w:shd w:fill="FFFFFF" w:val="clear"/>
          </w:tcPr>
          <w:p>
            <w:pPr>
              <w:keepNext/>
              <w:widowControl/>
              <w:spacing w:line="240" w:lineRule="auto" w:before="40" w:after="40"/>
              <w:jc w:val="left"/>
            </w:pPr>
            <w:r>
              <w:rPr>
                <w:rFonts w:ascii="Times New Roman" w:hAnsi="Times New Roman"/>
                <w:b/>
                <w:color w:val="000000"/>
                <w:sz w:val="22"/>
              </w:rPr>
              <w:t>Направление</w:t>
            </w:r>
          </w:p>
        </w:tc>
        <w:tc>
          <w:tcPr>
            <w:tcW w:type="dxa" w:w="2268"/>
            <w:vAlign w:val="center"/>
            <w:shd w:fill="FFFFFF" w:val="clear"/>
          </w:tcPr>
          <w:p>
            <w:pPr>
              <w:keepNext/>
              <w:widowControl/>
              <w:spacing w:line="240" w:lineRule="auto" w:before="40" w:after="40"/>
              <w:jc w:val="center"/>
            </w:pPr>
            <w:r>
              <w:rPr>
                <w:rFonts w:ascii="Times New Roman" w:hAnsi="Times New Roman"/>
                <w:b/>
                <w:color w:val="000000"/>
                <w:sz w:val="22"/>
              </w:rPr>
              <w:t>Вклад, п.п.²</w:t>
            </w:r>
          </w:p>
        </w:tc>
        <w:tc>
          <w:tcPr>
            <w:tcW w:type="dxa" w:w="3628"/>
            <w:vAlign w:val="center"/>
            <w:shd w:fill="FFFFFF" w:val="clear"/>
          </w:tcPr>
          <w:p>
            <w:pPr>
              <w:keepNext/>
              <w:widowControl/>
              <w:spacing w:line="240" w:lineRule="auto" w:before="40" w:after="40"/>
              <w:jc w:val="center"/>
            </w:pPr>
            <w:r>
              <w:rPr>
                <w:rFonts w:ascii="Times New Roman" w:hAnsi="Times New Roman"/>
                <w:b/>
                <w:color w:val="000000"/>
                <w:sz w:val="22"/>
              </w:rPr>
              <w:t>95%-интервал</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Китай</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−116,61</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[−164,41; −36,45]</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Гонконг</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−163,88</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[−224,46; −75,28]</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Other Asia, nes</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+368,93</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[131,26; 497,45]</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Вьетнам</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+63,17</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[21,83; 95,42]</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Сингапур</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−4,14</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[−10,08; 1,31]</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Филиппины</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−78,75</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[−102,56; −26,09]</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США</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+6,79</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[−0,42; 13,50]</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Таиланд</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−1,81</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[−2,89; −0,32]</w:t>
            </w:r>
          </w:p>
        </w:tc>
      </w:tr>
      <w:tr>
        <w:trPr>
          <w:cantSplit/>
        </w:trPr>
        <w:tc>
          <w:tcPr>
            <w:tcW w:type="dxa" w:w="3458"/>
            <w:vAlign w:val="center"/>
            <w:shd w:fill="FFFFFF" w:val="clear"/>
          </w:tcPr>
          <w:p>
            <w:pPr>
              <w:keepNext/>
              <w:widowControl/>
              <w:spacing w:line="240" w:lineRule="auto" w:before="40" w:after="40"/>
              <w:jc w:val="left"/>
            </w:pPr>
            <w:r>
              <w:rPr>
                <w:rFonts w:ascii="Times New Roman" w:hAnsi="Times New Roman"/>
                <w:b w:val="0"/>
                <w:color w:val="000000"/>
                <w:sz w:val="22"/>
              </w:rPr>
              <w:t>Остальные направления</w:t>
            </w:r>
          </w:p>
        </w:tc>
        <w:tc>
          <w:tcPr>
            <w:tcW w:type="dxa" w:w="2268"/>
            <w:vAlign w:val="center"/>
            <w:shd w:fill="FFFFFF" w:val="clear"/>
          </w:tcPr>
          <w:p>
            <w:pPr>
              <w:keepNext/>
              <w:widowControl/>
              <w:spacing w:line="240" w:lineRule="auto" w:before="40" w:after="40"/>
              <w:jc w:val="center"/>
            </w:pPr>
            <w:r>
              <w:rPr>
                <w:rFonts w:ascii="Times New Roman" w:hAnsi="Times New Roman"/>
                <w:b w:val="0"/>
                <w:color w:val="000000"/>
                <w:sz w:val="22"/>
              </w:rPr>
              <w:t>+25,14</w:t>
            </w:r>
          </w:p>
        </w:tc>
        <w:tc>
          <w:tcPr>
            <w:tcW w:type="dxa" w:w="3628"/>
            <w:vAlign w:val="center"/>
            <w:shd w:fill="FFFFFF" w:val="clear"/>
          </w:tcPr>
          <w:p>
            <w:pPr>
              <w:keepNext/>
              <w:widowControl/>
              <w:spacing w:line="240" w:lineRule="auto" w:before="40" w:after="40"/>
              <w:jc w:val="center"/>
            </w:pPr>
            <w:r>
              <w:rPr>
                <w:rFonts w:ascii="Times New Roman" w:hAnsi="Times New Roman"/>
                <w:b w:val="0"/>
                <w:color w:val="000000"/>
                <w:sz w:val="22"/>
              </w:rPr>
              <w:t>[11,15; 34,67]</w:t>
            </w:r>
          </w:p>
        </w:tc>
      </w:tr>
    </w:tbl>
    <w:p>
      <w:pPr>
        <w:widowControl/>
        <w:spacing w:line="240" w:lineRule="auto" w:after="140" w:before="80"/>
      </w:pPr>
      <w:r>
        <w:rPr>
          <w:rFonts w:ascii="Times New Roman" w:hAnsi="Times New Roman"/>
          <w:b w:val="0"/>
          <w:color w:val="000000"/>
          <w:sz w:val="20"/>
        </w:rPr>
        <w:t>Источник: расчеты автора. Дополнительная симметричная атрибуция с учетом ковариаций, блок 12 месяцев. В сумме точечные значения дают +98,84 п.п.².</w:t>
      </w:r>
    </w:p>
    <w:p>
      <w:pPr>
        <w:widowControl/>
        <w:spacing w:line="276" w:lineRule="auto" w:after="120"/>
      </w:pPr>
      <w:r>
        <w:rPr>
          <w:rFonts w:ascii="Times New Roman" w:hAnsi="Times New Roman"/>
          <w:b w:val="0"/>
          <w:color w:val="000000"/>
          <w:sz w:val="24"/>
        </w:rPr>
        <w:t>На память в направлении Other Asia, nes приходится +334,63 п.п.² географического вклада. Доля этого направления внутри экспорта памяти Кореи выросла с 3,02 до 20,08%. Это указывает на конкретную ячейку, существенную для результата, но ее вклад включает ковариации с другими поставками. Он не равен изолированному эффекту переноса экспорта на один рынок.</w:t>
      </w:r>
    </w:p>
    <w:p>
      <w:pPr>
        <w:widowControl/>
        <w:spacing w:line="276" w:lineRule="auto" w:after="120"/>
      </w:pPr>
      <w:r>
        <w:rPr>
          <w:rFonts w:ascii="Times New Roman" w:hAnsi="Times New Roman"/>
          <w:b w:val="0"/>
          <w:color w:val="000000"/>
          <w:sz w:val="24"/>
        </w:rPr>
        <w:t>Знак общего географического вклада зависит от окна оценки. При ковариации 2018–2020 годов он равен −26,67 п.п.², при ковариации 2021–2024 годов — +169,09 п.п.². Дополнительные интервалы обоих значений включают ноль. В позднем окне существенно больше положительный вклад перекрестных членов одного товара на разных рынках.</w:t>
      </w:r>
    </w:p>
    <w:p>
      <w:pPr>
        <w:widowControl/>
        <w:spacing w:line="276" w:lineRule="auto" w:after="120"/>
      </w:pPr>
      <w:r>
        <w:rPr>
          <w:rFonts w:ascii="Times New Roman" w:hAnsi="Times New Roman"/>
          <w:b w:val="0"/>
          <w:color w:val="000000"/>
          <w:sz w:val="24"/>
        </w:rPr>
        <w:t>Для контроля выполнено точное разложение общей ковариации на две взвешенные внутрипериодные матрицы и компонент различия средних. Основной географический вклад +98,84 п.п.² складывается из −11,25 за раннее окно, +95,75 за позднее и +14,34 за различие средних. Поэтому результат объясняется особенностями общей исторической матрицы, а не только изменением одного показателя концентрации.</w:t>
      </w:r>
    </w:p>
    <w:p>
      <w:pPr>
        <w:pStyle w:val="Heading1"/>
        <w:widowControl/>
        <w:spacing w:line="276" w:lineRule="auto" w:after="120"/>
      </w:pPr>
      <w:r>
        <w:rPr>
          <w:rFonts w:ascii="Times New Roman" w:hAnsi="Times New Roman"/>
          <w:b/>
          <w:color w:val="000000"/>
          <w:sz w:val="24"/>
        </w:rPr>
        <w:t>9 Проверки устойчивости</w:t>
      </w:r>
    </w:p>
    <w:p>
      <w:pPr>
        <w:widowControl/>
        <w:spacing w:line="276" w:lineRule="auto" w:after="120"/>
      </w:pPr>
      <w:r>
        <w:rPr>
          <w:rFonts w:ascii="Times New Roman" w:hAnsi="Times New Roman"/>
          <w:b w:val="0"/>
          <w:color w:val="000000"/>
          <w:sz w:val="24"/>
        </w:rPr>
        <w:t>Основной протокол предусматривает 12 вариантов по двум странам. Рассчитаны 22 из 24 оценок. Два варианта Кореи оставлены ненаблюдаемыми: месячный лаг один и обычный процентный рост за год. Причина — нулевые знаменатели в части ячеек с положительными фиксированными весами. Это не пропуски исходной торговой панели; неопределенные темпы не заменялись нулевым риском.</w:t>
      </w:r>
    </w:p>
    <w:p>
      <w:pPr>
        <w:keepNext/>
        <w:widowControl/>
        <w:spacing w:line="276" w:lineRule="auto" w:after="80" w:before="100"/>
      </w:pPr>
      <w:r>
        <w:rPr>
          <w:rFonts w:ascii="Times New Roman" w:hAnsi="Times New Roman"/>
          <w:b w:val="0"/>
          <w:color w:val="000000"/>
          <w:sz w:val="22"/>
        </w:rPr>
        <w:t>Таблица 8 Изменение условного стандартного отклонения в разных вариантах</w:t>
      </w:r>
    </w:p>
    <w:tbl>
      <w:tblPr>
        <w:tblW w:type="auto" w:w="0"/>
        <w:jc w:val="center"/>
        <w:tblLayout w:type="fixed"/>
        <w:tblLook w:firstColumn="1" w:firstRow="1" w:lastColumn="0" w:lastRow="0" w:noHBand="0" w:noVBand="1" w:val="04A0"/>
        <w:tblW w:w="9356"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5159"/>
        <w:gridCol w:w="2098"/>
        <w:gridCol w:w="2098"/>
      </w:tblGrid>
      <w:tr>
        <w:trPr>
          <w:tblHeader/>
          <w:cantSplit/>
        </w:trPr>
        <w:tc>
          <w:tcPr>
            <w:tcW w:type="dxa" w:w="5159"/>
            <w:vAlign w:val="center"/>
            <w:shd w:fill="FFFFFF" w:val="clear"/>
          </w:tcPr>
          <w:p>
            <w:pPr>
              <w:keepNext/>
              <w:widowControl/>
              <w:spacing w:line="240" w:lineRule="auto" w:before="40" w:after="40"/>
              <w:jc w:val="left"/>
            </w:pPr>
            <w:r>
              <w:rPr>
                <w:rFonts w:ascii="Times New Roman" w:hAnsi="Times New Roman"/>
                <w:b/>
                <w:color w:val="000000"/>
                <w:sz w:val="22"/>
              </w:rPr>
              <w:t>Вариант</w:t>
            </w:r>
          </w:p>
        </w:tc>
        <w:tc>
          <w:tcPr>
            <w:tcW w:type="dxa" w:w="2098"/>
            <w:vAlign w:val="center"/>
            <w:shd w:fill="FFFFFF" w:val="clear"/>
          </w:tcPr>
          <w:p>
            <w:pPr>
              <w:keepNext/>
              <w:widowControl/>
              <w:spacing w:line="240" w:lineRule="auto" w:before="40" w:after="40"/>
              <w:jc w:val="center"/>
            </w:pPr>
            <w:r>
              <w:rPr>
                <w:rFonts w:ascii="Times New Roman" w:hAnsi="Times New Roman"/>
                <w:b/>
                <w:color w:val="000000"/>
                <w:sz w:val="22"/>
              </w:rPr>
              <w:t>Япония, п.п.</w:t>
            </w:r>
          </w:p>
        </w:tc>
        <w:tc>
          <w:tcPr>
            <w:tcW w:type="dxa" w:w="2098"/>
            <w:vAlign w:val="center"/>
            <w:shd w:fill="FFFFFF" w:val="clear"/>
          </w:tcPr>
          <w:p>
            <w:pPr>
              <w:keepNext/>
              <w:widowControl/>
              <w:spacing w:line="240" w:lineRule="auto" w:before="40" w:after="40"/>
              <w:jc w:val="center"/>
            </w:pPr>
            <w:r>
              <w:rPr>
                <w:rFonts w:ascii="Times New Roman" w:hAnsi="Times New Roman"/>
                <w:b/>
                <w:color w:val="000000"/>
                <w:sz w:val="22"/>
              </w:rPr>
              <w:t>Корея, п.п.</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Основная оценка</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−0,26</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−1,27</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Пять кандидатов направлений</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−0,27</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−0,94</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Двенадцать кандидатов направлений</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−0,18</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−1,31</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С частями HS854290</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−0,42</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−1,26</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Китай и Гонконг вместе</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−0,09</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−1,24</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Симметричный месячный рост</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+0,31</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Не определено</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Симметричный квартальный рост г/г</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−0,39</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−1,17</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Обычный процентный рост г/г</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+55,17</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Не определено</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Ковариация 2018–2020</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−0,24</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−3,53</w:t>
            </w:r>
          </w:p>
        </w:tc>
      </w:tr>
      <w:tr>
        <w:trPr>
          <w:cantSplit/>
        </w:trPr>
        <w:tc>
          <w:tcPr>
            <w:tcW w:type="dxa" w:w="5159"/>
            <w:vAlign w:val="center"/>
            <w:shd w:fill="FFFFFF" w:val="clear"/>
          </w:tcPr>
          <w:p>
            <w:pPr>
              <w:keepNext/>
              <w:widowControl/>
              <w:spacing w:line="240" w:lineRule="auto" w:before="40" w:after="40"/>
              <w:jc w:val="left"/>
            </w:pPr>
            <w:r>
              <w:rPr>
                <w:rFonts w:ascii="Times New Roman" w:hAnsi="Times New Roman"/>
                <w:b w:val="0"/>
                <w:color w:val="000000"/>
                <w:sz w:val="22"/>
              </w:rPr>
              <w:t>Ковариация 2021–2024</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−0,09</w:t>
            </w:r>
          </w:p>
        </w:tc>
        <w:tc>
          <w:tcPr>
            <w:tcW w:type="dxa" w:w="2098"/>
            <w:vAlign w:val="center"/>
            <w:shd w:fill="FFFFFF" w:val="clear"/>
          </w:tcPr>
          <w:p>
            <w:pPr>
              <w:keepNext/>
              <w:widowControl/>
              <w:spacing w:line="240" w:lineRule="auto" w:before="40" w:after="40"/>
              <w:jc w:val="center"/>
            </w:pPr>
            <w:r>
              <w:rPr>
                <w:rFonts w:ascii="Times New Roman" w:hAnsi="Times New Roman"/>
                <w:b w:val="0"/>
                <w:color w:val="000000"/>
                <w:sz w:val="22"/>
              </w:rPr>
              <w:t>−0,30</w:t>
            </w:r>
          </w:p>
        </w:tc>
      </w:tr>
    </w:tbl>
    <w:p>
      <w:pPr>
        <w:widowControl/>
        <w:spacing w:line="240" w:lineRule="auto" w:after="140" w:before="80"/>
      </w:pPr>
      <w:r>
        <w:rPr>
          <w:rFonts w:ascii="Times New Roman" w:hAnsi="Times New Roman"/>
          <w:b w:val="0"/>
          <w:color w:val="000000"/>
          <w:sz w:val="20"/>
        </w:rPr>
        <w:t>Источник: расчеты автора. Во всех строках доли 2017/2024; окна и определения роста различаются. Неопределенность связана с нулевыми знаменателями, а не с неполной панелью.</w:t>
      </w:r>
    </w:p>
    <w:p>
      <w:pPr>
        <w:widowControl/>
        <w:spacing w:line="276" w:lineRule="auto" w:after="120"/>
      </w:pPr>
      <w:r>
        <w:rPr>
          <w:rFonts w:ascii="Times New Roman" w:hAnsi="Times New Roman"/>
          <w:b w:val="0"/>
          <w:color w:val="000000"/>
          <w:sz w:val="24"/>
        </w:rPr>
        <w:t>Варианты с пятью и двенадцатью кандидатами направлений проверяют зависимость результата от географической агрегации. После критерия наблюдаемости в последнем варианте остаются одиннадцать отдельных направлений. Включение частей, объединение Китая с Гонконгом и квартальная агрегация не меняют отрицательного точечного общего результата Кореи. Размеры изменений при разных определениях роста напрямую не сопоставляются.</w:t>
      </w:r>
    </w:p>
    <w:p>
      <w:pPr>
        <w:widowControl/>
        <w:spacing w:line="276" w:lineRule="auto" w:after="120"/>
      </w:pPr>
      <w:r>
        <w:rPr>
          <w:rFonts w:ascii="Times New Roman" w:hAnsi="Times New Roman"/>
          <w:b w:val="0"/>
          <w:color w:val="000000"/>
          <w:sz w:val="24"/>
        </w:rPr>
        <w:t>Для Японии месячный лаг один и обычный процентный рост дают положительное общее изменение. Обычный темп особенно чувствителен к малой базе: например, экспорт памяти во Вьетнам в сентябре 2022 года составляет около 13,84 млн долларов против 23,05 тыс. долларов годом ранее. Обычный рост такой ячейки достигает примерно 59 924%. Симметричный темп ограничен по модулю, поэтому сильный эффект малой базы проявляется иначе. Исходные суммы не исправлялись и небольшие потоки не удалялись.</w:t>
      </w:r>
    </w:p>
    <w:p>
      <w:pPr>
        <w:widowControl/>
        <w:spacing w:line="276" w:lineRule="auto" w:after="120"/>
      </w:pPr>
      <w:r>
        <w:rPr>
          <w:rFonts w:ascii="Times New Roman" w:hAnsi="Times New Roman"/>
          <w:b w:val="0"/>
          <w:color w:val="000000"/>
          <w:sz w:val="24"/>
        </w:rPr>
        <w:t>Отдельная временная проверка использует структуры 2017 и 2020 годов и географическую сетку, выбранную по начальному периоду. Матрица 2018–2020 сопоставляется с матрицей 2021–2024. У Японии изменения стандартного отклонения равны +0,41 и +0,33 п.п., у Кореи — −1,91 и −2,18 п.п. Это другое структурное сравнение, поэтому оно не заменяет основной результат 2017/2024. Используются пересмотренные данные, а не исторические версии, доступные в реальном времени.</w:t>
      </w:r>
    </w:p>
    <w:p>
      <w:pPr>
        <w:widowControl/>
        <w:spacing w:line="276" w:lineRule="auto" w:after="120"/>
      </w:pPr>
      <w:r>
        <w:rPr>
          <w:rFonts w:ascii="Times New Roman" w:hAnsi="Times New Roman"/>
          <w:b w:val="0"/>
          <w:color w:val="000000"/>
          <w:sz w:val="24"/>
        </w:rPr>
        <w:t>После основной оценки дополнительно исключался каждый календарный год из истории колебаний при сохранении долей 2017/2024 и исходной сетки. Общая точечная разница Кореи отрицательна в семи из семи расчетов. Ее товарный вклад во всех случаях отрицателен, географический — положителен. Это показывает устойчивость точечного направления к удалению одного года, но не отменяет ширины основного интервала.</w:t>
      </w:r>
    </w:p>
    <w:p>
      <w:pPr>
        <w:widowControl/>
        <w:spacing w:line="276" w:lineRule="auto" w:after="120"/>
      </w:pPr>
      <w:r>
        <w:rPr>
          <w:rFonts w:ascii="Times New Roman" w:hAnsi="Times New Roman"/>
          <w:b w:val="0"/>
          <w:color w:val="000000"/>
          <w:sz w:val="24"/>
        </w:rPr>
        <w:t>У Японии исключение 2021 года меняет знак общего изменения: оно становится +0,44 п.п. В остальных шести вариантах остается отрицательным. Японский итог поэтому представляет собой более чувствительную компенсацию отдельных частей.</w:t>
      </w:r>
    </w:p>
    <w:p>
      <w:pPr>
        <w:keepNext/>
        <w:spacing w:after="60"/>
        <w:jc w:val="center"/>
      </w:pPr>
      <w:r>
        <w:drawing>
          <wp:inline xmlns:a="http://schemas.openxmlformats.org/drawingml/2006/main" xmlns:pic="http://schemas.openxmlformats.org/drawingml/2006/picture">
            <wp:extent cx="5940000" cy="2413125"/>
            <wp:docPr id="2" name="Picture 2" descr="Изменение условного стандартного отклонения при исключении каждого года"/>
            <wp:cNvGraphicFramePr>
              <a:graphicFrameLocks noChangeAspect="1"/>
            </wp:cNvGraphicFramePr>
            <a:graphic>
              <a:graphicData uri="http://schemas.openxmlformats.org/drawingml/2006/picture">
                <pic:pic>
                  <pic:nvPicPr>
                    <pic:cNvPr id="0" name="omission.png"/>
                    <pic:cNvPicPr/>
                  </pic:nvPicPr>
                  <pic:blipFill>
                    <a:blip r:embed="rId10"/>
                    <a:stretch>
                      <a:fillRect/>
                    </a:stretch>
                  </pic:blipFill>
                  <pic:spPr>
                    <a:xfrm>
                      <a:off x="0" y="0"/>
                      <a:ext cx="5940000" cy="2413125"/>
                    </a:xfrm>
                    <a:prstGeom prst="rect"/>
                  </pic:spPr>
                </pic:pic>
              </a:graphicData>
            </a:graphic>
          </wp:inline>
        </w:drawing>
      </w:r>
    </w:p>
    <w:p>
      <w:pPr>
        <w:keepNext/>
        <w:widowControl/>
        <w:spacing w:line="276" w:lineRule="auto" w:after="120"/>
      </w:pPr>
      <w:r>
        <w:rPr>
          <w:rFonts w:ascii="Times New Roman" w:hAnsi="Times New Roman"/>
          <w:b w:val="0"/>
          <w:color w:val="000000"/>
          <w:sz w:val="22"/>
        </w:rPr>
        <w:t>Рисунок 2 Чувствительность к исключению одного года</w:t>
      </w:r>
    </w:p>
    <w:p>
      <w:pPr>
        <w:widowControl/>
        <w:spacing w:line="240" w:lineRule="auto" w:after="120"/>
      </w:pPr>
      <w:r>
        <w:rPr>
          <w:rFonts w:ascii="Times New Roman" w:hAnsi="Times New Roman"/>
          <w:b w:val="0"/>
          <w:color w:val="000000"/>
          <w:sz w:val="20"/>
        </w:rPr>
        <w:t>Источник: расчеты автора. Пунктир — полная основная оценка. Доли 2017/2024 и сетка фиксированы. Дополнительная диагностика после основной оценки.</w:t>
      </w:r>
    </w:p>
    <w:p>
      <w:pPr>
        <w:widowControl/>
        <w:spacing w:line="276" w:lineRule="auto" w:after="120"/>
      </w:pPr>
      <w:r>
        <w:rPr>
          <w:rFonts w:ascii="Times New Roman" w:hAnsi="Times New Roman"/>
          <w:b w:val="0"/>
          <w:color w:val="000000"/>
          <w:sz w:val="24"/>
        </w:rPr>
        <w:t>При переходе от блока 12 месяцев к блоку шесть месяцев основной интервал изменения стандартного отклонения остается содержащим ноль: [−1,28; 0,79] для Японии и [−3,14; 0,71] для Кореи. Отрицательный товарный вклад Кореи сохраняется. В сумме проверки поддерживают объяснение товарной части, но не дают основания объявить общий эффект географии устойчивым для любого периода и определения роста.</w:t>
      </w:r>
    </w:p>
    <w:p>
      <w:pPr>
        <w:pStyle w:val="Heading1"/>
        <w:widowControl/>
        <w:spacing w:line="276" w:lineRule="auto" w:after="120"/>
      </w:pPr>
      <w:r>
        <w:rPr>
          <w:rFonts w:ascii="Times New Roman" w:hAnsi="Times New Roman"/>
          <w:b/>
          <w:color w:val="000000"/>
          <w:sz w:val="24"/>
        </w:rPr>
        <w:t>10 Эмпирический вклад и ограничения</w:t>
      </w:r>
    </w:p>
    <w:p>
      <w:pPr>
        <w:widowControl/>
        <w:spacing w:line="276" w:lineRule="auto" w:after="120"/>
      </w:pPr>
      <w:r>
        <w:rPr>
          <w:rFonts w:ascii="Times New Roman" w:hAnsi="Times New Roman"/>
          <w:b w:val="0"/>
          <w:color w:val="000000"/>
          <w:sz w:val="24"/>
        </w:rPr>
        <w:t>Вклад исследования я формулирую как количественное сопоставление концентрационной и ковариационной оценки одной экспортной структуры. На единой месячной базе показано, как товарные доли и география внутри категорий дают разные вклады и почему учет совместных колебаний меняет интерпретацию географического перераспределения. Для Кореи дополнительное разложение связывает основную часть товарного результата со стоимостной долей памяти.</w:t>
      </w:r>
    </w:p>
    <w:p>
      <w:pPr>
        <w:widowControl/>
        <w:spacing w:line="276" w:lineRule="auto" w:after="120"/>
      </w:pPr>
      <w:r>
        <w:rPr>
          <w:rFonts w:ascii="Times New Roman" w:hAnsi="Times New Roman"/>
          <w:b w:val="0"/>
          <w:color w:val="000000"/>
          <w:sz w:val="24"/>
        </w:rPr>
        <w:t>Такое позиционирование учитывает ближайшие исследования. Оно не сводится к утверждению, что память более волатильна, поскольку это уже обсуждается в литературе [9; 10]. Самостоятельная эмпирическая добавка — конкретные размеры вкладов, их взаимная компенсация и зависимость географического вывода от окна ковариации при сопоставимых правилах для двух стран.</w:t>
      </w:r>
    </w:p>
    <w:p>
      <w:pPr>
        <w:widowControl/>
        <w:spacing w:line="276" w:lineRule="auto" w:after="120"/>
      </w:pPr>
      <w:r>
        <w:rPr>
          <w:rFonts w:ascii="Times New Roman" w:hAnsi="Times New Roman"/>
          <w:b w:val="0"/>
          <w:color w:val="000000"/>
          <w:sz w:val="24"/>
        </w:rPr>
        <w:t>Проверка литературы была целевой. Полные тексты и препринты ближайших методологических работ сопоставлены с нашей постановкой, однако у Kim и Lee [13] проверены запись и аннотация, а полный текст не получен. В просмотренных материалах точного повтора совокупности расчетов не выявлено. Это позволяет обосновывать отличие от сопоставленных работ, но не заявление о мировом приоритете.</w:t>
      </w:r>
    </w:p>
    <w:p>
      <w:pPr>
        <w:widowControl/>
        <w:spacing w:line="276" w:lineRule="auto" w:after="120"/>
      </w:pPr>
      <w:r>
        <w:rPr>
          <w:rFonts w:ascii="Times New Roman" w:hAnsi="Times New Roman"/>
          <w:b w:val="0"/>
          <w:color w:val="000000"/>
          <w:sz w:val="24"/>
        </w:rPr>
        <w:t>Первое содержательное ограничение — стоимостная природа данных. Доли и темпы одновременно отражают цены, физические объемы, качество и состав продукции внутри HS6. Снижение доли памяти в текущих долларах не доказывает физическую диверсификацию производства. Количественные поля двух экспортеров не дают единой сопоставимой меры объема; сопоставимая детализация дефляторов по всем четырем HS6 в расчет не включена.</w:t>
      </w:r>
    </w:p>
    <w:p>
      <w:pPr>
        <w:widowControl/>
        <w:spacing w:line="276" w:lineRule="auto" w:after="120"/>
      </w:pPr>
      <w:r>
        <w:rPr>
          <w:rFonts w:ascii="Times New Roman" w:hAnsi="Times New Roman"/>
          <w:b w:val="0"/>
          <w:color w:val="000000"/>
          <w:sz w:val="24"/>
        </w:rPr>
        <w:t>Второе ограничение — агрегирование по товару и направлению. Код памяти не разделяет HBM, DRAM и NAND, а таможенные отгрузки не раскрывают конечные отрасли потребления и реэкспорт. Остаточная географическая группа может скрывать собственную неоднородность. Проверки сетки помогают оценить чувствительность, но не восстанавливают недоступную детализацию.</w:t>
      </w:r>
    </w:p>
    <w:p>
      <w:pPr>
        <w:widowControl/>
        <w:spacing w:line="276" w:lineRule="auto" w:after="120"/>
      </w:pPr>
      <w:r>
        <w:rPr>
          <w:rFonts w:ascii="Times New Roman" w:hAnsi="Times New Roman"/>
          <w:b w:val="0"/>
          <w:color w:val="000000"/>
          <w:sz w:val="24"/>
        </w:rPr>
        <w:t>Третье ограничение относится к интерпретации. Работа оценивает условные исторические индексы с фиксированными весами и не идентифицирует причинное влияние торговой политики, экспортных ограничений или технологических субсидий. Два экспортера и один отраслевой набор не образуют выборку независимых политических экспериментов. Применяемая ковариация не обращается, оптимальный экспортный портфель не ищется.</w:t>
      </w:r>
    </w:p>
    <w:p>
      <w:pPr>
        <w:pStyle w:val="Heading1"/>
        <w:widowControl/>
        <w:spacing w:line="276" w:lineRule="auto" w:after="120"/>
      </w:pPr>
      <w:r>
        <w:rPr>
          <w:rFonts w:ascii="Times New Roman" w:hAnsi="Times New Roman"/>
          <w:b/>
          <w:color w:val="000000"/>
          <w:sz w:val="24"/>
        </w:rPr>
        <w:t>11 Выводы и формат работы</w:t>
      </w:r>
    </w:p>
    <w:p>
      <w:pPr>
        <w:widowControl/>
        <w:spacing w:line="276" w:lineRule="auto" w:after="120"/>
      </w:pPr>
      <w:r>
        <w:rPr>
          <w:rFonts w:ascii="Times New Roman" w:hAnsi="Times New Roman"/>
          <w:b w:val="0"/>
          <w:color w:val="000000"/>
          <w:sz w:val="24"/>
        </w:rPr>
        <w:t>Полученный результат показывает, что снижение агрегированного HHI и изменение условной волатильности необходимо рассматривать раздельно. В Корее отрицательный товарный вклад преимущественно связан со снижением стоимостной доли памяти. Географическое перераспределение в основной оценке частично компенсирует этот результат через перекрестные ковариации, однако его общий знак зависит от исторического окна. У Японии итоговое изменение невелико и менее устойчиво.</w:t>
      </w:r>
    </w:p>
    <w:p>
      <w:pPr>
        <w:widowControl/>
        <w:spacing w:line="276" w:lineRule="auto" w:after="120"/>
      </w:pPr>
      <w:r>
        <w:rPr>
          <w:rFonts w:ascii="Times New Roman" w:hAnsi="Times New Roman"/>
          <w:b w:val="0"/>
          <w:color w:val="000000"/>
          <w:sz w:val="24"/>
        </w:rPr>
        <w:t>Эмпирическая часть исследования завершена в пределах выбранного дизайна. Полная панель, исходные ответы, четыре состояния, интервалы, предусмотренные альтернативы и дополнительные диагностические разложения сохранены вместе с кодом. Численные тождества дисперсии, сложение вкладов и воспроизведение основных интервалов проверены.</w:t>
      </w:r>
    </w:p>
    <w:p>
      <w:pPr>
        <w:widowControl/>
        <w:spacing w:line="276" w:lineRule="auto" w:after="120"/>
      </w:pPr>
      <w:r>
        <w:rPr>
          <w:rFonts w:ascii="Times New Roman" w:hAnsi="Times New Roman"/>
          <w:b w:val="0"/>
          <w:color w:val="000000"/>
          <w:sz w:val="24"/>
        </w:rPr>
        <w:t>Для обсуждения предлагаю тему в приведенной формулировке и формат прикладной статьи по международной торговле. Ее центральный вопрос — как изменение товарной структуры и географии внутри отрасли отражается в условном риске экспортной стоимости. В дипломной работе этот расчет может составить эмпирическую главу, связанную с литературой о диверсификации и отраслевой специализации.</w:t>
      </w:r>
    </w:p>
    <w:p>
      <w:pPr>
        <w:widowControl/>
        <w:spacing w:line="276" w:lineRule="auto" w:after="120"/>
      </w:pPr>
      <w:r>
        <w:rPr>
          <w:rFonts w:ascii="Times New Roman" w:hAnsi="Times New Roman"/>
          <w:b w:val="0"/>
          <w:color w:val="000000"/>
          <w:sz w:val="24"/>
        </w:rPr>
        <w:t>На обсуждение с научной руководительницей выносятся исследовательский вопрос, трактовка полученных вкладов и соответствие прикладного результата выбранному формату публикации. Основной вывод сформулирован по завершенным расчетам; проведение новых моделей не является условием начала подготовки рукописи.</w:t>
      </w:r>
    </w:p>
    <w:p>
      <w:pPr>
        <w:pStyle w:val="Heading1"/>
        <w:widowControl/>
        <w:spacing w:line="276" w:lineRule="auto" w:after="120"/>
      </w:pPr>
      <w:r>
        <w:rPr>
          <w:rFonts w:ascii="Times New Roman" w:hAnsi="Times New Roman"/>
          <w:b/>
          <w:color w:val="000000"/>
          <w:sz w:val="24"/>
        </w:rPr>
        <w:t>Основные источники</w:t>
      </w:r>
    </w:p>
    <w:p>
      <w:pPr>
        <w:widowControl/>
        <w:spacing w:line="276" w:lineRule="auto" w:after="120"/>
      </w:pPr>
      <w:r>
        <w:rPr>
          <w:rFonts w:ascii="Times New Roman" w:hAnsi="Times New Roman"/>
          <w:b w:val="0"/>
          <w:color w:val="000000"/>
          <w:sz w:val="24"/>
        </w:rPr>
        <w:t>1. United Nations Statistics Division. UN Comtrade Database. Месячный экспорт Японии и Республики Корея за 2017–2024 гг. HS8542 и пять HS6. Стоимость FOB в текущих долларах США. Выгрузки и контроль основной панели завершены 16.10.2026.</w:t>
      </w:r>
    </w:p>
    <w:p>
      <w:pPr>
        <w:widowControl/>
        <w:spacing w:line="276" w:lineRule="auto" w:after="120"/>
      </w:pPr>
      <w:r>
        <w:rPr>
          <w:rFonts w:ascii="Times New Roman" w:hAnsi="Times New Roman"/>
          <w:b w:val="0"/>
          <w:color w:val="000000"/>
          <w:sz w:val="24"/>
        </w:rPr>
        <w:t>2. World Customs Organization. Harmonized System Nomenclature. Chapter 85. Редакции HS2017 и HS2022. Позиции 854231, 854232, 854233, 854239 и 854290.</w:t>
      </w:r>
    </w:p>
    <w:p>
      <w:pPr>
        <w:widowControl/>
        <w:spacing w:line="276" w:lineRule="auto" w:after="120"/>
      </w:pPr>
      <w:r>
        <w:rPr>
          <w:rFonts w:ascii="Times New Roman" w:hAnsi="Times New Roman"/>
          <w:b w:val="0"/>
          <w:color w:val="000000"/>
          <w:sz w:val="24"/>
        </w:rPr>
        <w:t>3. United Nations Statistics Division. UN Comtrade Knowledge Base. Annual totals vs sum of monthly data. Методические пояснения о различиях годовой статистики и суммы месячных данных. Дата обращения 16.10.2026.</w:t>
      </w:r>
    </w:p>
    <w:p>
      <w:pPr>
        <w:widowControl/>
        <w:spacing w:line="276" w:lineRule="auto" w:after="120"/>
      </w:pPr>
      <w:r>
        <w:rPr>
          <w:rFonts w:ascii="Times New Roman" w:hAnsi="Times New Roman"/>
          <w:b w:val="0"/>
          <w:color w:val="000000"/>
          <w:sz w:val="24"/>
        </w:rPr>
        <w:t>4. Shorrocks A. F. Decomposition procedures for distributional analysis: a unified framework based on the Shapley value // The Journal of Economic Inequality. 2013. Vol. 11. P. 99–126. DOI 10.1007/s10888-011-9214-z.</w:t>
      </w:r>
    </w:p>
    <w:p>
      <w:pPr>
        <w:widowControl/>
        <w:spacing w:line="276" w:lineRule="auto" w:after="120"/>
      </w:pPr>
      <w:r>
        <w:rPr>
          <w:rFonts w:ascii="Times New Roman" w:hAnsi="Times New Roman"/>
          <w:b w:val="0"/>
          <w:color w:val="000000"/>
          <w:sz w:val="24"/>
        </w:rPr>
        <w:t>5. Esposito F. Demand risk and diversification through international trade // Journal of International Economics. 2022. Vol. 135. Article 103562. DOI 10.1016/j.jinteco.2021.103562. Для разбора метода также использован полный препринт MPRA 100398 2020 года.</w:t>
      </w:r>
    </w:p>
    <w:p>
      <w:pPr>
        <w:widowControl/>
        <w:spacing w:line="276" w:lineRule="auto" w:after="120"/>
      </w:pPr>
      <w:r>
        <w:rPr>
          <w:rFonts w:ascii="Times New Roman" w:hAnsi="Times New Roman"/>
          <w:b w:val="0"/>
          <w:color w:val="000000"/>
          <w:sz w:val="24"/>
        </w:rPr>
        <w:t>6. Vannoorenberghe G., Wang Z., Yu Z. Volatility and diversification of exports: Firm-level theory and evidence // European Economic Review. 2016. Vol. 89. P. 216–247. DOI 10.1016/j.euroecorev.2016.07.002. Дополнительно сопоставлен полный CESifo Working Paper 4916 2014 года.</w:t>
      </w:r>
    </w:p>
    <w:p>
      <w:pPr>
        <w:widowControl/>
        <w:spacing w:line="276" w:lineRule="auto" w:after="120"/>
      </w:pPr>
      <w:r>
        <w:rPr>
          <w:rFonts w:ascii="Times New Roman" w:hAnsi="Times New Roman"/>
          <w:b w:val="0"/>
          <w:color w:val="000000"/>
          <w:sz w:val="24"/>
        </w:rPr>
        <w:t>7. Barigozzi M., Cuzzola A., Grazzi M., Moschella D. Factoring in the Micro: A Transaction-Level Dynamic Factor Approach to the Decomposition of Export Volatility // Oxford Bulletin of Economics and Statistics. 2025. Vol. 87, No. 1. P. 155–184. DOI 10.1111/obes.12639. Первая онлайн-публикация 2024 года.</w:t>
      </w:r>
    </w:p>
    <w:p>
      <w:pPr>
        <w:widowControl/>
        <w:spacing w:line="276" w:lineRule="auto" w:after="120"/>
      </w:pPr>
      <w:r>
        <w:rPr>
          <w:rFonts w:ascii="Times New Roman" w:hAnsi="Times New Roman"/>
          <w:b w:val="0"/>
          <w:color w:val="000000"/>
          <w:sz w:val="24"/>
        </w:rPr>
        <w:t>8. Lee J., Yu B.-K. The Effects of Export Diversification on Macroeconomic Stabilization: Evidence from Korea. Bank of Korea Working Paper 2018-25. 2018.</w:t>
      </w:r>
    </w:p>
    <w:p>
      <w:pPr>
        <w:widowControl/>
        <w:spacing w:line="276" w:lineRule="auto" w:after="120"/>
      </w:pPr>
      <w:r>
        <w:rPr>
          <w:rFonts w:ascii="Times New Roman" w:hAnsi="Times New Roman"/>
          <w:b w:val="0"/>
          <w:color w:val="000000"/>
          <w:sz w:val="24"/>
        </w:rPr>
        <w:t>9. Jo K., Jung K.-C. Semiconductor Market Trends and Macroeconomic Implications. Korea Development Institute. 10 May 2023. Официальное содержательное изложение и поясняющий материал института.</w:t>
      </w:r>
    </w:p>
    <w:p>
      <w:pPr>
        <w:widowControl/>
        <w:spacing w:line="276" w:lineRule="auto" w:after="120"/>
      </w:pPr>
      <w:r>
        <w:rPr>
          <w:rFonts w:ascii="Times New Roman" w:hAnsi="Times New Roman"/>
          <w:b w:val="0"/>
          <w:color w:val="000000"/>
          <w:sz w:val="24"/>
        </w:rPr>
        <w:t>10. Bank of Korea. Characteristics of Demand Structure for Korea’s Semiconductors and Implications // Korea Economic Outlook. May 2023. P. 53–62. Англоязычная полная версия опубликована 31.07.2023.</w:t>
      </w:r>
    </w:p>
    <w:p>
      <w:pPr>
        <w:widowControl/>
        <w:spacing w:line="276" w:lineRule="auto" w:after="120"/>
      </w:pPr>
      <w:r>
        <w:rPr>
          <w:rFonts w:ascii="Times New Roman" w:hAnsi="Times New Roman"/>
          <w:b w:val="0"/>
          <w:color w:val="000000"/>
          <w:sz w:val="24"/>
        </w:rPr>
        <w:t>11. Kitetu G. M., Mbante II A. R., Ko J.-H. Revealed Trade Competitiveness between Korea and Japan: Is It Viable to Deepen Economic Integration? // Journal of Global Business and Trade. 2021. Vol. 17, No. 2. P. 67–84. DOI 10.20294/jgbt.2021.17.2.67.</w:t>
      </w:r>
    </w:p>
    <w:p>
      <w:pPr>
        <w:widowControl/>
        <w:spacing w:line="276" w:lineRule="auto" w:after="120"/>
      </w:pPr>
      <w:r>
        <w:rPr>
          <w:rFonts w:ascii="Times New Roman" w:hAnsi="Times New Roman"/>
          <w:b w:val="0"/>
          <w:color w:val="000000"/>
          <w:sz w:val="24"/>
        </w:rPr>
        <w:t>12. Koo J. Structural Changes in Korea’s Semiconductor Supply Chain under the Changing Economic Security Environment: An Analysis of Trade Structures, 2015–2025 // Public Policy Review. 2026. Vol. 40, No. 2. P. 319–339. DOI 10.17327/ippa.2026.40.2.011. Статья на корейском языке.</w:t>
      </w:r>
    </w:p>
    <w:p>
      <w:pPr>
        <w:widowControl/>
        <w:spacing w:line="276" w:lineRule="auto" w:after="120"/>
      </w:pPr>
      <w:r>
        <w:rPr>
          <w:rFonts w:ascii="Times New Roman" w:hAnsi="Times New Roman"/>
          <w:b w:val="0"/>
          <w:color w:val="000000"/>
          <w:sz w:val="24"/>
        </w:rPr>
        <w:t>13. Kim T.-H., Lee M.-J. Assessing Trade Concentration, Dependency, and Resilience in Korea’s Semiconductor Supply Chain: A Network and Entropy-Based Approach // Journal of Korea Trade. 2025. Vol. 29, No. 7. P. 67–95. DOI 10.35611/jkt.2025.29.7.67. Сопоставление по записи KCI и аннотации.</w:t>
      </w:r>
    </w:p>
    <w:p>
      <w:pPr>
        <w:widowControl/>
        <w:spacing w:line="276" w:lineRule="auto" w:after="120"/>
      </w:pPr>
      <w:r>
        <w:rPr>
          <w:rFonts w:ascii="Times New Roman" w:hAnsi="Times New Roman"/>
          <w:b w:val="0"/>
          <w:color w:val="000000"/>
          <w:sz w:val="24"/>
        </w:rPr>
        <w:t>14. International Monetary Fund. Republic of Korea: 2025 Article IV Consultation — Press Release; Staff Report; and Statement by the Executive Director for Republic of Korea. IMF Country Report No. 25/308. 31 October 2025. Раздел о концентрации экспорта и ценовой волатильности полупроводников.</w:t>
      </w:r>
    </w:p>
    <w:sectPr w:rsidR="00FC693F" w:rsidRPr="0006063C" w:rsidSect="00034616">
      <w:footerReference w:type="default" r:id="rId11"/>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2"/>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20" w:after="1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spacing w:after="180" w:line="240" w:lineRule="auto"/>
      <w:contextualSpacing/>
      <w:jc w:val="center"/>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Волатильность экспорта интегральных схем Японии и Республики Корея с учетом товарной структуры и географии поставок</dc:title>
  <dc:subject>Данные и результаты исследования для научной руководительницы</dc:subject>
  <dc:creator>Артём</dc:creator>
  <cp:keywords/>
  <dc:description>generated by python-docx</dc:description>
  <cp:lastModifiedBy>Артём</cp:lastModifiedBy>
  <cp:revision>1</cp:revision>
  <dcterms:created xsi:type="dcterms:W3CDTF">2026-10-16T00:00:00Z</dcterms:created>
  <dcterms:modified xsi:type="dcterms:W3CDTF">2026-10-16T12:35:30Z</dcterms:modified>
  <cp:category/>
</cp:coreProperties>
</file>