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Предложение темы исследования экспорта интегральных схем</w:t>
      </w:r>
    </w:p>
    <w:p>
      <w:pPr>
        <w:pStyle w:val="Note"/>
      </w:pPr>
      <w:r>
        <w:t>Материалы для обсуждения с научным руководителем</w:t>
        <w:br/>
        <w:t>16 октября 2026 года</w:t>
      </w:r>
    </w:p>
    <w:p>
      <w:r>
        <w:t>Предлагаю подготовить статью о вкладе товарной структуры и перераспределения рынков сбыта в изменение концентрации экспорта интегральных схем Японии и Республики Корея. Данные собраны, предварительные результаты получены.</w:t>
      </w:r>
    </w:p>
    <w:p>
      <w:pPr>
        <w:pStyle w:val="Heading1"/>
      </w:pPr>
      <w:r>
        <w:t>1 Тема и постановка вопроса</w:t>
      </w:r>
    </w:p>
    <w:p>
      <w:r>
        <w:rPr>
          <w:b/>
        </w:rPr>
        <w:t xml:space="preserve">Рабочее название: </w:t>
      </w:r>
      <w:r>
        <w:t>«Географическая концентрация экспорта интегральных схем Японии и Южной Кореи: роль товарной структуры и агрегации».</w:t>
      </w:r>
    </w:p>
    <w:p>
      <w:r>
        <w:t>Тема относится к мировой экономике и международной торговле. Общая концентрация направлений зависит от товарного состава экспорта. Например, память и процессоры могут продаваться на разных рынках. Рост доли одной категории способен изменить общий индекс даже при сохранении географии поставок внутри каждой категории.</w:t>
      </w:r>
    </w:p>
    <w:p>
      <w:r>
        <w:t>Япония и Корея выбраны для сопоставления различий товарной специализации. Доля памяти в экспорте HS8542 в 2017 году составляла около 36,5% у Японии и 70,3% у Кореи. Это различие необходимо учитывать при интерпретации общей концентрации.</w:t>
      </w:r>
    </w:p>
    <w:p>
      <w:pPr>
        <w:pStyle w:val="Heading1"/>
      </w:pPr>
      <w:r>
        <w:t>2 Цель и задачи</w:t>
      </w:r>
    </w:p>
    <w:p>
      <w:r>
        <w:t>Цель работы — оценить вклад изменения товарной структуры и географии поставок внутри товарных категорий в изменение концентрации экспорта интегральных схем Японии и Республики Корея за 2017–2024 годы.</w:t>
      </w:r>
    </w:p>
    <w:p>
      <w:r>
        <w:t>Для этого предполагается рассчитать показатели концентрации по годам, выполнить двухфакторное разложение их изменения, определить вклад отдельных категорий и направлений, а затем проверить чувствительность результатов к выбору периода и географической агрегации.</w:t>
      </w:r>
    </w:p>
    <w:p>
      <w:r>
        <w:t>В исходном плане предполагалось проверить, может ли общий индекс скрывать разнонаправленные изменения двух компонентов. Знак компонентов заранее не задавался.</w:t>
      </w:r>
    </w:p>
    <w:p>
      <w:pPr>
        <w:pStyle w:val="Heading1"/>
      </w:pPr>
      <w:r>
        <w:t>3 Данные и границы исследования</w:t>
      </w:r>
    </w:p>
    <w:p>
      <w:r>
        <w:t>Основной источник — UN Comtrade [1]. Используется собственная статистика годового экспорта Японии и Республики Корея за 2017–2024 годы. Показатель стоимости — валовой экспорт FOB в текущих долларах США. Основной расчет охватывает все представленные в статистике направления поставок; доли Китая, Гонконга, США и ЕС рассматриваются дополнительно.</w:t>
      </w:r>
    </w:p>
    <w:p>
      <w:r>
        <w:t>Товарная граница — группа HS8542, включающая интегральные схемы и их части. Выделяются пять подкатегорий: 854231 — процессоры и контроллеры; 854232 — память; 854233 — усилители; 854239 — прочие интегральные схемы; 854290 — части. Оборудование для производства и другие полупроводниковые приборы в эту группу не входят. Названия и коды используемых подкатегорий сопоставлены между редакциями HS2017 и HS2022 [2].</w:t>
      </w:r>
    </w:p>
    <w:p>
      <w:r>
        <w:t>В таблице содержится 4 118 наблюдений вида «экспортер — год — товар — направление». Проверены суммы поставок по направлениям и товарным подкатегориям. Повторов ключа, отрицательных и пропущенных стоимостей не обнаружено. Исходные данные и код сохранены для воспроизведения расчетов.</w:t>
      </w:r>
    </w:p>
    <w:p>
      <w:r>
        <w:t>Китай и Гонконг в основном варианте учитываются раздельно; их объединение используется для проверки чувствительности. Для доли ЕС применяется постоянный состав ЕС-27, а в основном индексе его участники остаются отдельными направлениями. Категория Comtrade «Other Asia, nes» сохраняется под исходным названием. Доступность полного набора за 2025 год еще предстоит проверить.</w:t>
      </w:r>
    </w:p>
    <w:p>
      <w:pPr>
        <w:pStyle w:val="Heading1"/>
      </w:pPr>
      <w:r>
        <w:t>4 Метод исследования</w:t>
      </w:r>
    </w:p>
    <w:p>
      <w:r>
        <w:t>Основной показатель — индекс Херфиндаля — Хиршмана (HHI), равный сумме квадратов долей направлений в общей стоимости экспорта:</w:t>
      </w:r>
    </w:p>
    <w:p>
      <w:pPr>
        <w:spacing w:line="240" w:lineRule="auto" w:after="100"/>
        <w:ind w:firstLine="0"/>
        <w:jc w:val="center"/>
      </w:pPr>
      <m:oMathPara>
        <m:oMath>
          <m:r>
            <m:t>HHI = </m:t>
          </m:r>
          <m:nary>
            <m:naryPr>
              <m:chr m:val="∑"/>
              <m:limLoc m:val="undOvr"/>
              <m:supHide m:val="1"/>
            </m:naryPr>
            <m:sub>
              <m:r>
                <m:t>d</m:t>
              </m:r>
            </m:sub>
            <m:sup/>
            <m:e>
              <m:sSubSup>
                <m:e>
                  <m:r>
                    <m:t>s</m:t>
                  </m:r>
                </m:e>
                <m:sub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r>
        <w:t>Здесь s — доля направления d. Более высокий индекс соответствует большей концентрации. Общие доли направлений представляются через веса пяти товарных категорий и распределение поставок внутри каждой из них.</w:t>
      </w:r>
    </w:p>
    <w:p>
      <w:r>
        <w:t>Изменение HHI раскладывается по известному принципу Шепли [3]. Рассчитываются четыре сочетания товарных весов и географических долей начального и конечного годов. Вклад каждого фактора усредняется по двум порядкам замены. Сумма товарного и географического компонентов точно равна общему изменению индекса. Это учетное разложение; оно не оценивает причинное влияние торговой политики.</w:t>
      </w:r>
    </w:p>
    <w:p>
      <w:r>
        <w:t>Основное сравнение — 2017 и 2024 годы. Проверки включают другие базовые годы, сумму годовых разложений, объединение Китая с Гонконгом и исключение частей. Дополнительно рассчитываются доли направлений и доля трех крупнейших покупателей.</w:t>
      </w:r>
    </w:p>
    <w:p>
      <w:pPr>
        <w:pStyle w:val="Heading1"/>
      </w:pPr>
      <w:r>
        <w:t>5 Предварительные результаты</w:t>
      </w:r>
    </w:p>
    <w:p>
      <w:r>
        <w:t>В основном варианте HHI Японии изменился с 0,152278 до 0,151452, а Кореи — с 0,269797 до 0,212029. Результаты разложения приведены ниже.</w:t>
      </w:r>
    </w:p>
    <w:p>
      <w:pPr>
        <w:pStyle w:val="Note"/>
        <w:keepNext/>
      </w:pPr>
      <w:r>
        <w:t>Таблица 1. Разложение изменения HHI за 2017–2024 годы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1928"/>
        <w:gridCol w:w="2324"/>
        <w:gridCol w:w="2835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Экспортер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Изменение HHI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Товарный компонент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Географический компонент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Япония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−0,000826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+0,005816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−0,006642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Республика Корея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−0,057767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−0,014073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−0,043694</w:t>
            </w:r>
          </w:p>
        </w:tc>
      </w:tr>
    </w:tbl>
    <w:p>
      <w:pPr>
        <w:pStyle w:val="Note"/>
      </w:pPr>
      <w:r>
        <w:t>Источник: UN Comtrade, расчеты автора. Шкала HHI — 0–1.</w:t>
      </w:r>
    </w:p>
    <w:p>
      <w:r>
        <w:t>У Японии небольшое итоговое изменение складывается из двух противоположных компонентов. У Кореи оба компонента отрицательны. При детализации географического компонента основной отрицательный вклад в обеих странах приходится на память, а процессоры и контроллеры частично его компенсируют.</w:t>
      </w:r>
    </w:p>
    <w:p>
      <w:r>
        <w:t>В Корее географический компонент составляет 75,6% общего снижения при сравнении крайних лет и 56,3% при суммировании семи годовых разложений. Эти способы учитывают разные траектории замены факторов, сохраняя одно итоговое изменение. У Японии противоположные знаки суммарных компонентов сохраняются, но не наблюдаются в каждом годовом переходе.</w:t>
      </w:r>
    </w:p>
    <w:p>
      <w:r>
        <w:t>Объединение Китая и Гонконга меняет снижение японского HHI с 0,000826 до 0,016460. Вывод о почти неизменной концентрации, следовательно, зависит от способа учета направлений. Эту чувствительность необходимо отразить в статье.</w:t>
      </w:r>
    </w:p>
    <w:p>
      <w:pPr>
        <w:pStyle w:val="Heading1"/>
      </w:pPr>
      <w:r>
        <w:t>6 Место в литературе и возможная новизна</w:t>
      </w:r>
    </w:p>
    <w:p>
      <w:r>
        <w:t>В работе Hillrichs и Wölfl [4] рассматриваются концентрация торговли и различия типов полупроводников. Koh [5] анализирует корейскую отрасль в условиях торговых ограничений. Kitetu, Mbante II и Ko [6] уже сравнивают Корею и Японию по тем же пяти HS6, используя показатели торговой конкурентоспособности. Koo [7] рассчитывает концентрацию отдельных категорий корейской полупроводниковой торговли на данных до 2025 года.</w:t>
      </w:r>
    </w:p>
    <w:p>
      <w:r>
        <w:t>Предполагаемый вклад моей работы — разложить изменение общего географического HHI, сопоставить двух экспортеров и показать чувствительность интерпретации к агрегации. В рассмотренных полных текстах прямого повторения этой постановки не обнаружено. Сам метод, пара стран и применение Comtrade новизной не являются.</w:t>
      </w:r>
    </w:p>
    <w:p>
      <w:r>
        <w:t>У Hong [8] и Kim и Lee [9] проверены только записи, аннотации и отдельные фрагменты. Сохраняется риск совпадения с дополнительными расчетами в полных текстах. Поэтому вклад пока оценивается как возможная узкая эмпирическая добавка; его достаточность для публикации предлагаю обсудить после выбора журнала.</w:t>
      </w:r>
    </w:p>
    <w:p>
      <w:pPr>
        <w:pStyle w:val="Heading1"/>
      </w:pPr>
      <w:r>
        <w:t>7 Ограничения и дальнейшая работа</w:t>
      </w:r>
    </w:p>
    <w:p>
      <w:r>
        <w:t>Стоимостные доли отражают одновременно цены, физические объемы и состав продукции внутри HS6. Количественные поля Японии и Кореи несопоставимы, поэтому отделение ценового эффекта в текущем варианте не проводится. Прямые таможенные направления не раскрывают конечного потребителя и реэкспорт через торговые хабы. Результаты также не распространяются автоматически на всю полупроводниковую отрасль.</w:t>
      </w:r>
    </w:p>
    <w:p>
      <w:r>
        <w:t>Следующие шаги — уточнить отличие от ближайших исследований, проверить возможность дополнения данными за 2025 год, оформить годовую динамику и проверки чувствительности, затем подготовить текст статьи. Предполагаемая структура: введение и обзор литературы, данные и метод, результаты, проверки устойчивости, обсуждение ограничений и заключение.</w:t>
      </w:r>
    </w:p>
    <w:p>
      <w:r>
        <w:t>Хотел бы согласовать постановку вопроса, достаточность вклада и подходящий формат публикации. Собранные данные позволяют начать подготовку первой версии статьи.</w:t>
      </w:r>
    </w:p>
    <w:p>
      <w:pPr>
        <w:pStyle w:val="Heading1"/>
      </w:pPr>
      <w:r>
        <w:t>Основные источники</w:t>
      </w:r>
    </w:p>
    <w:p>
      <w:pPr>
        <w:pStyle w:val="Sources"/>
      </w:pPr>
      <w:r>
        <w:t xml:space="preserve">1. United Nations. UN Comtrade Database. Годовые данные экспорта Японии и Республики Корея за 2017–2024 гг., HS8542 и пять HS6. Исходная выгрузка сохранена 15.10.2026. </w:t>
      </w:r>
      <w:hyperlink r:id="rId10">
        <w:r>
          <w:rPr>
            <w:rFonts w:ascii="Times New Roman" w:hAnsi="Times New Roman"/>
            <w:sz w:val="25"/>
            <w:color w:val="000000"/>
            <w:u w:val="single"/>
          </w:rPr>
          <w:t>comtradeplus.un.org</w:t>
        </w:r>
      </w:hyperlink>
      <w:r>
        <w:t>.</w:t>
      </w:r>
    </w:p>
    <w:p>
      <w:pPr>
        <w:pStyle w:val="Sources"/>
      </w:pPr>
      <w:r>
        <w:t xml:space="preserve">2. World Customs Organization. Harmonized System Nomenclature. Chapter 85. Редакции 2017 и 2022 гг. </w:t>
      </w:r>
      <w:hyperlink r:id="rId11">
        <w:r>
          <w:rPr>
            <w:rFonts w:ascii="Times New Roman" w:hAnsi="Times New Roman"/>
            <w:sz w:val="25"/>
            <w:color w:val="000000"/>
            <w:u w:val="single"/>
          </w:rPr>
          <w:t>HS2017</w:t>
        </w:r>
      </w:hyperlink>
      <w:r>
        <w:t xml:space="preserve">; </w:t>
      </w:r>
      <w:hyperlink r:id="rId12">
        <w:r>
          <w:rPr>
            <w:rFonts w:ascii="Times New Roman" w:hAnsi="Times New Roman"/>
            <w:sz w:val="25"/>
            <w:color w:val="000000"/>
            <w:u w:val="single"/>
          </w:rPr>
          <w:t>HS2022</w:t>
        </w:r>
      </w:hyperlink>
      <w:r>
        <w:t>.</w:t>
      </w:r>
    </w:p>
    <w:p>
      <w:pPr>
        <w:pStyle w:val="Sources"/>
      </w:pPr>
      <w:r>
        <w:t xml:space="preserve">3. Shorrocks A. F. Decomposition procedures for distributional analysis: a unified framework based on the Shapley value // The Journal of Economic Inequality. 2013. Vol. 11. P. 99–126. </w:t>
      </w:r>
      <w:hyperlink r:id="rId13">
        <w:r>
          <w:rPr>
            <w:rFonts w:ascii="Times New Roman" w:hAnsi="Times New Roman"/>
            <w:sz w:val="25"/>
            <w:color w:val="000000"/>
            <w:u w:val="single"/>
          </w:rPr>
          <w:t>DOI: 10.1007/s10888-011-9214-z</w:t>
        </w:r>
      </w:hyperlink>
      <w:r>
        <w:t>.</w:t>
      </w:r>
    </w:p>
    <w:p>
      <w:pPr>
        <w:pStyle w:val="Sources"/>
      </w:pPr>
      <w:r>
        <w:t xml:space="preserve">4. Hillrichs D., Wölfl A. More Chips, Anyone? Demand for Semiconductors in an Era of Active Industrial Policy // EconPol Forum. 2026. Vol. 27, No. 1. P. 35–42. </w:t>
      </w:r>
      <w:hyperlink r:id="rId14">
        <w:r>
          <w:rPr>
            <w:rFonts w:ascii="Times New Roman" w:hAnsi="Times New Roman"/>
            <w:sz w:val="25"/>
            <w:color w:val="000000"/>
            <w:u w:val="single"/>
          </w:rPr>
          <w:t>Страница ifo</w:t>
        </w:r>
      </w:hyperlink>
      <w:r>
        <w:t>.</w:t>
      </w:r>
    </w:p>
    <w:p>
      <w:pPr>
        <w:pStyle w:val="Sources"/>
      </w:pPr>
      <w:r>
        <w:t xml:space="preserve">5. Koh W. C. Tariffs, Tech Controls, and Techno-nationalism: Korea’s Semiconductor Industry in an Era of Sanctions and Strategic Competition. AMRO Country Report ACR-2026-03. Selected Issue 1. 2026. </w:t>
      </w:r>
      <w:hyperlink r:id="rId15">
        <w:r>
          <w:rPr>
            <w:rFonts w:ascii="Times New Roman" w:hAnsi="Times New Roman"/>
            <w:sz w:val="25"/>
            <w:color w:val="000000"/>
            <w:u w:val="single"/>
          </w:rPr>
          <w:t>Полный текст AMRO</w:t>
        </w:r>
      </w:hyperlink>
      <w:r>
        <w:t>.</w:t>
      </w:r>
    </w:p>
    <w:p>
      <w:pPr>
        <w:pStyle w:val="Sources"/>
      </w:pPr>
      <w:r>
        <w:t xml:space="preserve">6. Kitetu G. M., Mbante II A. R., Ko J.-H. Revealed Trade Competitiveness between Korea and Japan: Is It Viable to Deepen Economic Integration? // Journal of Global Business and Trade. 2021. Vol. 17, No. 2. P. 67–84. </w:t>
      </w:r>
      <w:hyperlink r:id="rId16">
        <w:r>
          <w:rPr>
            <w:rFonts w:ascii="Times New Roman" w:hAnsi="Times New Roman"/>
            <w:sz w:val="25"/>
            <w:color w:val="000000"/>
            <w:u w:val="single"/>
          </w:rPr>
          <w:t>DOI: 10.20294/jgbt.2021.17.2.67</w:t>
        </w:r>
      </w:hyperlink>
      <w:r>
        <w:t>.</w:t>
      </w:r>
    </w:p>
    <w:p>
      <w:pPr>
        <w:pStyle w:val="Sources"/>
      </w:pPr>
      <w:r>
        <w:t xml:space="preserve">7. Koo J. Structural Changes in Korea’s Semiconductor Supply Chain under the Changing Economic Security Environment: An Analysis of Trade Structures, 2015–2025 // Public Policy Review. 2026. Vol. 40, No. 2. P. 319–339. Статья на корейском языке. </w:t>
      </w:r>
      <w:hyperlink r:id="rId17">
        <w:r>
          <w:rPr>
            <w:rFonts w:ascii="Times New Roman" w:hAnsi="Times New Roman"/>
            <w:sz w:val="25"/>
            <w:color w:val="000000"/>
            <w:u w:val="single"/>
          </w:rPr>
          <w:t>DOI: 10.17327/ippa.2026.40.2.011</w:t>
        </w:r>
      </w:hyperlink>
      <w:r>
        <w:t>.</w:t>
      </w:r>
    </w:p>
    <w:p>
      <w:pPr>
        <w:pStyle w:val="Sources"/>
      </w:pPr>
      <w:r>
        <w:t xml:space="preserve">8. Hong M.-S. Analysis of export changes to major trading partners of the Korean semiconductor industry // The e-Business Studies. 2023. Vol. 24, No. 6. P. 179–189. Статья на корейском языке; полный текст пока не проверен. </w:t>
      </w:r>
      <w:hyperlink r:id="rId18">
        <w:r>
          <w:rPr>
            <w:rFonts w:ascii="Times New Roman" w:hAnsi="Times New Roman"/>
            <w:sz w:val="25"/>
            <w:color w:val="000000"/>
            <w:u w:val="single"/>
          </w:rPr>
          <w:t>DOI: 10.20462/tebs.2023.11.24.6.179</w:t>
        </w:r>
      </w:hyperlink>
      <w:r>
        <w:t>.</w:t>
      </w:r>
    </w:p>
    <w:p>
      <w:pPr>
        <w:pStyle w:val="Sources"/>
      </w:pPr>
      <w:r>
        <w:t xml:space="preserve">9. Kim T.-H., Lee M.-J. Assessing Trade Concentration, Dependency, and Resilience in Korea’s Semiconductor Supply Chain: A Network and Entropy-Based Approach // Journal of Korea Trade. 2025. Vol. 29, No. 7. P. 67–95. Полный текст пока не проверен. </w:t>
      </w:r>
      <w:hyperlink r:id="rId19">
        <w:r>
          <w:rPr>
            <w:rFonts w:ascii="Times New Roman" w:hAnsi="Times New Roman"/>
            <w:sz w:val="25"/>
            <w:color w:val="000000"/>
            <w:u w:val="single"/>
          </w:rPr>
          <w:t>DOI: 10.35611/jkt.2025.29.7.67</w:t>
        </w:r>
      </w:hyperlink>
      <w:r>
        <w:t>.</w:t>
      </w:r>
    </w:p>
    <w:sectPr w:rsidR="00FC693F" w:rsidRPr="0006063C" w:rsidSect="00034616">
      <w:footerReference w:type="default" r:id="rId9"/>
      <w:pgSz w:w="12240" w:h="15840"/>
      <w:pgMar w:top="1134" w:right="1134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 w:line="276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76" w:lineRule="auto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s">
    <w:name w:val="Sources"/>
    <w:basedOn w:val="Normal"/>
    <w:pPr>
      <w:keepLines/>
      <w:spacing w:line="276" w:lineRule="auto" w:after="120"/>
      <w:ind w:firstLine="0"/>
      <w:jc w:val="left"/>
    </w:pPr>
    <w:rPr>
      <w:rFonts w:ascii="Times New Roman" w:hAnsi="Times New Roman" w:eastAsia="Times New Roman" w:cs="Times New Roman"/>
      <w:b w:val="0"/>
      <w:color w:val="000000"/>
      <w:sz w:val="25"/>
    </w:rPr>
  </w:style>
  <w:style w:type="paragraph" w:customStyle="1" w:styleId="Note">
    <w:name w:val="Note"/>
    <w:basedOn w:val="Normal"/>
    <w:pPr>
      <w:spacing w:line="276" w:lineRule="auto" w:before="80" w:after="100"/>
      <w:ind w:firstLine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omtradeplus.un.org/" TargetMode="External"/><Relationship Id="rId11" Type="http://schemas.openxmlformats.org/officeDocument/2006/relationships/hyperlink" Target="https://www.wcoomd.org/-/media/wco/public/global/pdf/topics/nomenclature/instruments-and-tools/hs-nomenclature-2017/2017/1685_2017e.pdf?la=en" TargetMode="External"/><Relationship Id="rId12" Type="http://schemas.openxmlformats.org/officeDocument/2006/relationships/hyperlink" Target="https://www.wcoomd.org/-/media/wco/public/global/pdf/topics/nomenclature/instruments-and-tools/hs-nomenclature-2022/2022/1685_2022e.pdf?la=en" TargetMode="External"/><Relationship Id="rId13" Type="http://schemas.openxmlformats.org/officeDocument/2006/relationships/hyperlink" Target="https://doi.org/10.1007/s10888-011-9214-z" TargetMode="External"/><Relationship Id="rId14" Type="http://schemas.openxmlformats.org/officeDocument/2006/relationships/hyperlink" Target="https://www.ifo.de/en/econpol/publications/2026/article-journal/more-chips-anyone-demand-for-semiconductors-in-era-of-active-industrial-policy" TargetMode="External"/><Relationship Id="rId15" Type="http://schemas.openxmlformats.org/officeDocument/2006/relationships/hyperlink" Target="https://amro-asia.org/wp-content/uploads/2026/03/Korea-ACV-2025-SI-1.pdf" TargetMode="External"/><Relationship Id="rId16" Type="http://schemas.openxmlformats.org/officeDocument/2006/relationships/hyperlink" Target="https://doi.org/10.20294/jgbt.2021.17.2.67" TargetMode="External"/><Relationship Id="rId17" Type="http://schemas.openxmlformats.org/officeDocument/2006/relationships/hyperlink" Target="https://doi.org/10.17327/ippa.2026.40.2.011" TargetMode="External"/><Relationship Id="rId18" Type="http://schemas.openxmlformats.org/officeDocument/2006/relationships/hyperlink" Target="https://doi.org/10.20462/tebs.2023.11.24.6.179" TargetMode="External"/><Relationship Id="rId19" Type="http://schemas.openxmlformats.org/officeDocument/2006/relationships/hyperlink" Target="https://doi.org/10.35611/jkt.2025.29.7.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Предложение темы исследования экспорта интегральных схем</dc:title>
  <dc:subject>Материалы для обсуждения с научным руководителем</dc:subject>
  <dc:creator>Артём</dc:creator>
  <cp:keywords>международная торговля, интегральные схемы, концентрация экспорта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