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Глава 1 Теоретические основы товарной и географической адаптации автомобильной торговли</w:t>
      </w:r>
    </w:p>
    <w:p>
      <w:pPr>
        <w:pStyle w:val="ThesisSection"/>
      </w:pPr>
      <w:r>
        <w:t>1.1 Международная организация автомобильного производства и особенности электрифицированных технологий</w:t>
      </w:r>
    </w:p>
    <w:p>
      <w:r>
        <w:t>Международная торговля автомобилями связывает решения о размещении производства, выборе модельного ряда и организации продаж. Автомобиль может выпускаться за пределами страны, в которой расположена штаб-квартира его производителя, а затем поставляться на несколько зарубежных рынков. Поэтому положение страны в автомобильной торговле нельзя определять только по национальной принадлежности известных марок. Для анализа необходимо установить, где произведён автомобиль, к какой технологии он относится и какое перемещение отражает используемая статистика. Эти различия особенно существенны при исследовании электрифицированного транспорта, в котором одновременно представлены несколько типов силовых установок и различные способы организации международного производства.</w:t>
      </w:r>
    </w:p>
    <w:p>
      <w:r>
        <w:t>Объяснение международной торговли на уровне отраслевых преимуществ дополняется анализом различий между фирмами. В модели М. Мелица производители одной отрасли имеют неодинаковую производительность, а выход на зарубежный рынок требует затрат, которые не зависят от объёма отдельной поставки. Поэтому наличие спроса за рубежом ещё не делает экспорт выгодным для каждого предприятия: ожидаемая прибыль должна покрывать затраты участия. Изменение условий торговли одновременно затрагивает объёмы действующих экспортёров и состав фирм, способных обслуживать внешний рынок. Эта логика связывает расширение торговли с перераспределением долей внутри отрасли.</w:t>
      </w:r>
      <w:r>
        <w:rPr>
          <w:rStyle w:val="FootnoteReference"/>
        </w:rPr>
        <w:footnoteReference w:id="1"/>
      </w:r>
      <w:r/>
    </w:p>
    <w:p>
      <w:r>
        <w:t>Для автомобильного производства данное различие особенно существенно при обсуждении ассортимента и географии сбыта. Поставщик с уже организованным обслуживанием покупателей может наращивать продажи в существующем направлении, тогда как освоение нового требует дополнительных организационных решений. Это позволяет ожидать неодинаковой реакции продолжающих и новых направлений. Однако производительность отдельных фирм и наличие потока по стране относятся к разным уровням наблюдения; фирменная теория здесь объясняет возможный механизм, а страна выступает единицей последующего измерения.</w:t>
      </w:r>
    </w:p>
    <w:p>
      <w:r>
        <w:t>Более подробное объяснение организации именно автомобильной отрасли предложено в исследовании К. Хэда и Т. Майера о размещении многонационального автомобильного производства. Авторы выделяют издержки перевозки готового автомобиля, передачи ресурсов от штаб-квартиры к месту сборки и обслуживания зарубежного рынка. Последние включают как переменные затраты, так и фиксированные затраты предложения дополнительной модели. Фирма решает, выводить ли модель на рынок, с какой из имеющихся сборочных площадок её поставлять и какой объём продавать. Близость к покупателю снижает часть торговых затрат, но может сочетаться с более высокой стоимостью сборки или управления зарубежным производством.</w:t>
      </w:r>
      <w:r>
        <w:rPr>
          <w:rStyle w:val="FootnoteReference"/>
        </w:rPr>
        <w:footnoteReference w:id="2"/>
      </w:r>
      <w:r/>
    </w:p>
    <w:p>
      <w:r>
        <w:t>Из этой постановки следует, что повышение барьера на готовый автомобиль способно изменить и объём поставок из прежнего источника, и выбор источника для сохранённой модели. У производителя с несколькими сборочными площадками существуют возможности, которых нет у экспортёра с единственным местом выпуска. При этом изменение источника в пределах действующей сети и строительство нового завода различаются по необходимому капиталу и срокам. В модели Хэда и Майера выбор источника осуществляется среди заданных площадок; создание новых мощностей требует отдельного инвестиционного анализа. Для исследования торговли это означает, что один и тот же бренд может сохранить продажи, одновременно сократив ввоз из определённой страны.</w:t>
      </w:r>
    </w:p>
    <w:p>
      <w:r>
        <w:t>Для настоящего исследования из данного подхода следует необходимость разграничить конкурентные позиции фирмы и потоки товаров определённого происхождения. Рост импорта автомобилей, произведённых в Китае, может включать продукцию как китайских, так и иностранных производителей. В то же время расширение продаж марки, принадлежащей китайской компании, может обеспечиваться производством за пределами Китая. При анализе первого процесса объектом становится география производственного происхождения, второго — деятельность фирм и брендов. Эти процессы связаны, но требуют разных данных. Отчёты Международного энергетического агентства также разделяют расположение автомобильного производства и местонахождение штаб-квартир производителей, что позволяет сопоставлять международные потоки без отождествления страны сборки с национальностью компании.</w:t>
      </w:r>
      <w:r>
        <w:rPr>
          <w:rStyle w:val="FootnoteReference"/>
        </w:rPr>
        <w:footnoteReference w:id="3"/>
      </w:r>
      <w:r/>
    </w:p>
    <w:p>
      <w:r>
        <w:t>В данной работе выражение «китайские поставки» обозначает автомобили китайского происхождения независимо от национальности владельца марки. Такое определение соответствует объекту таможенного наблюдения. Распределение доходов между компаниями и созданной стоимости между странами относится к другому вопросу, для которого понадобились бы сведения о производственной цепочке.</w:t>
      </w:r>
    </w:p>
    <w:p>
      <w:r>
        <w:t>Следующее различие связано с устройством силовой установки. Под электрификацией автомобильного транспорта можно понимать применение электрической тяги с различной степенью участия двигателя внутреннего сгорания. Поэтому объединение всех электрифицированных автомобилей в одну группу затрудняет экономическое сравнение: машины различаются способом получения энергии, требованиями к зарядке и режимом использования. В исследовании выделяются аккумуляторные электромобили, подключаемые гибриды и гибриды без внешней зарядки. Такое разделение задаёт основу для анализа товарного состава поставок.</w:t>
      </w:r>
    </w:p>
    <w:p>
      <w:r>
        <w:t>Аккумуляторный электромобиль, или BEV, использует электрический двигатель и тяговую батарею, которая заряжается от внешнего источника электроэнергии. В технологическом смысле это полностью электрический автомобиль, для эксплуатации которого доступность зарядки имеет самостоятельное значение. Характеристики батареи и условия использования влияют на запас хода, а потребность в зарядке связывает выбор автомобиля с инфраструктурой. Поэтому сравнение BEV с другими автомобилями предполагает учёт не только цены приобретения, но и условий последующей эксплуатации.</w:t>
      </w:r>
      <w:r>
        <w:rPr>
          <w:rStyle w:val="FootnoteReference"/>
        </w:rPr>
        <w:footnoteReference w:id="4"/>
      </w:r>
      <w:r/>
    </w:p>
    <w:p>
      <w:r>
        <w:t>Подключаемый гибрид, или PHEV, сочетает электрический двигатель, заряжаемую от внешнего источника батарею и двигатель внутреннего сгорания. Возможность использовать два источника энергии отличает его и от BEV, и от гибрида без внешней зарядки. Экономические свойства такого автомобиля зависят от того, как часто владелец заряжает батарею и какую часть пробега обеспечивает электрическая тяга. Поэтому само отнесение машины к PHEV ещё не определяет фактическую структуру её энергопотребления. Для бензиновых PHEV, рассматриваемых в работе, сохраняется возможность использования бензина наряду с электричеством.</w:t>
      </w:r>
      <w:r>
        <w:rPr>
          <w:rStyle w:val="FootnoteReference"/>
        </w:rPr>
        <w:footnoteReference w:id="5"/>
      </w:r>
      <w:r/>
    </w:p>
    <w:p>
      <w:r>
        <w:t>Гибрид без внешней зарядки, или HEV, также объединяет двигатель внутреннего сгорания и электрический привод, однако его батарея не подключается к внешней электрической сети. Энергия восполняется в процессе работы автомобиля, в том числе при рекуперативном торможении. Ключевой отличительный признак здесь — отсутствие возможности внешней зарядки, а не полное отсутствие электрической тяги. Технические решения внутри гибридного класса могут различаться, поэтому используемая категория не должна пониматься как единая модель с одинаковыми характеристиками. В эмпирическую часть включаются бензиновые гибриды, соответствующие выбранной товарной классификации.</w:t>
      </w:r>
      <w:r>
        <w:rPr>
          <w:rStyle w:val="FootnoteReference"/>
        </w:rPr>
        <w:footnoteReference w:id="6"/>
      </w:r>
      <w:r/>
    </w:p>
    <w:p>
      <w:r>
        <w:t>Различия технологий имеют значение для международной торговли через структуру спроса и условия конкуренции. Покупатель, имеющий доступ к регулярной зарядке, и покупатель, для которого такая возможность ограничена, могут по-разному оценивать одинаковую разницу в цене BEV и PHEV. При этом сходство назначения автомобилей не делает их совершенными заменителями: значение имеют размеры, запас хода, комплектация и предпочтения потребителей. Поэтому расширение поставок одной технологии не означает автоматического замещения такого же количества машин другой технологии. Степень взаимозаменяемости является отдельным экономическим вопросом, а её численная оценка требует более подробной информации о моделях и ценах.</w:t>
      </w:r>
    </w:p>
    <w:p>
      <w:r>
        <w:t>Технологические определения необходимо отличать от границ статистического и правового учёта. Товарная номенклатура группирует машины по установленным признакам, тогда как маркетинговое название модели может подчёркивать иные характеристики. Кроме того, юридический охват конкретной торговой меры может относиться только к части товарной позиции. Например, в описании европейской компенсационной меры для новых BEV предусмотрены автомобили с двигателем внутреннего сгорания, выполняющим функцию вспомогательного увеличителя запаса хода. Поэтому техническое наименование, полный код CN8 и юридический объект меры требуют отдельного согласования. Подробная классификация используемых кодов рассматривается во второй главе.</w:t>
      </w:r>
      <w:r>
        <w:rPr>
          <w:rStyle w:val="FootnoteReference"/>
        </w:rPr>
        <w:footnoteReference w:id="7"/>
      </w:r>
      <w:r/>
    </w:p>
    <w:p>
      <w:r>
        <w:t>Для анализа адаптации текущего предложения также важно различать новые и подержанные машины. Поставка нового автомобиля и международная перепродажа ранее эксплуатировавшегося транспортного средства относятся к разным процессам формирования предложения. Их объединение затруднило бы сопоставление количества и средней стоимости: изменение доли подержанных машин могло бы изменить показатели даже без пересмотра предложения новых моделей. Поэтому ограничение исследования новыми автомобилями задаёт более определённый предмет сравнения. Оно одновременно сужает выводы: полученные результаты будут относиться к выбранной части торговли, а не ко всему автомобильному рынку.</w:t>
      </w:r>
    </w:p>
    <w:p>
      <w:r>
        <w:t>Отдельного внимания требует географическое измерение ввоза. В статистике Eurostat партнёром по импорту из-за пределов ЕС выступает страна происхождения товара, а отчитывающаяся страна отражает соответствующий поток в рамках правил европейской статистики. Такая запись описывает пересечение статистической границы и не содержит полного пути товара до конечного покупателя. Детализированная Комбинированная номенклатура позволяет разделять товарные позиции, однако сама по себе не добавляет к ним сведения о фирме, марке или последующем использовании автомобиля.</w:t>
      </w:r>
      <w:r>
        <w:rPr>
          <w:rStyle w:val="FootnoteReference"/>
        </w:rPr>
        <w:footnoteReference w:id="8"/>
      </w:r>
      <w:r/>
    </w:p>
    <w:p>
      <w:r>
        <w:t>Наиболее наглядно расхождение страны ввоза и конечного назначения раскрывается через так называемый роттердамский эффект. Товар, прибывший из третьей страны и прошедший таможенное оформление в Нидерландах, может затем направляться в другую страну ЕС. Во внешнеторговой статистике первоначальный ввоз при этом будет связан с Нидерландами. Подобное устройство учёта показывает, почему высокая доля отдельного государства во ввозе ещё не характеризует спрос его населения. На основе этих данных можно исследовать распределение потоков между странами оформления, но для восстановления физических маршрутов и конечных продаж потребовались бы дополнительные сведения.</w:t>
      </w:r>
      <w:r>
        <w:rPr>
          <w:rStyle w:val="FootnoteReference"/>
        </w:rPr>
        <w:footnoteReference w:id="9"/>
      </w:r>
      <w:r/>
    </w:p>
    <w:p>
      <w:r>
        <w:t>По той же причине необходимо согласовывать показатели разных источников. В отраслевом анализе международная торговля может измеряться через продажи автомобилей, произведённых за пределами страны реализации. В частности, такой подход используется в соответствующих расчётах Global EV Outlook 2025, где отдельно оговаривается роль различий между экспортными поставками и фактическими зарубежными продажами. Таможенный ввоз и продажи могут относиться к разным моментам времени, в том числе из-за накопления запасов. Следовательно, отраслевой отчёт полезен для характеристики производственных связей, но его показатели не становятся автоматически сопоставимым знаменателем для долей, рассчитанных по Comext.</w:t>
      </w:r>
      <w:r>
        <w:rPr>
          <w:rStyle w:val="FootnoteReference"/>
        </w:rPr>
        <w:footnoteReference w:id="10"/>
      </w:r>
      <w:r/>
    </w:p>
    <w:p>
      <w:r>
        <w:t>Таким образом, исследование автомобильной торговли требует согласовать технологию, происхождение, состояние автомобиля и характер наблюдаемого перемещения. В настоящей работе эти признаки объединяются в анализе новых BEV и бензиновых PHEV и HEV китайского происхождения, ввезённых в ЕС. Разделение технологий позволяет рассматривать изменение товарного состава, а распределение ввоза между странами — его географическую структуру. При этом особенности организации отрасли оставляют производителям несколько направлений приспособления к изменению внешних условий. Для объяснения таких изменений далее необходимо рассмотреть экономические каналы торговых барьеров и промышленной политики.</w:t>
      </w:r>
    </w:p>
    <w:p>
      <w:pPr>
        <w:pStyle w:val="ThesisSection"/>
      </w:pPr>
      <w:r>
        <w:t>1.2 Торговые барьеры и промышленная политика в условиях технологического перехода</w:t>
      </w:r>
    </w:p>
    <w:p>
      <w:r>
        <w:t>Торговый барьер меняет соотношение затрат и доходов при обслуживании зарубежного рынка. Адвалорная пошлина начисляется в процентах к таможенной стоимости и увеличивает расходы импортёра, однако её ставка не определяет автоматически рост конечной цены. Экспортёр может изменить цену поставки, импортёр и дилер — наценку, покупатель — выбранную модель. Поэтому экономический результат зависит от распределения нагрузки между участниками и от того, какие альтернативы им доступны.</w:t>
      </w:r>
    </w:p>
    <w:p>
      <w:r>
        <w:t>В конкурентном частичном равновесии распределение нагрузки связывается с относительной чувствительностью спроса и предложения к цене. Сторона, которой сложнее изменить объём сделки, обычно принимает большую часть дополнительной нагрузки. Если у покупателя много близких заменителей, повышение цены сильнее сокращает спрос и ограничивает возможности поставщика переложить на него пошлину. При ограниченном выборе объём может реагировать слабее. Такой подход объясняет, почему одинаковый тариф способен сопровождаться разными изменениями количества и цены в различных товарных сегментах.</w:t>
      </w:r>
    </w:p>
    <w:p>
      <w:r>
        <w:t>В автомобильной отрасли модели дифференцированы, а производители управляют ассортиментом. Поэтому имеет значение не только чувствительность спроса на отдельную машину, но и то, куда переходит покупатель: к другой модели того же производителя, к конкуренту или за пределы рынка новых автомобилей. В модели П. Барвик с соавторами фирма учитывает взаимное влияние продаж собственных моделей при установлении цен. Нагрузка на один товар тем самым способна изменить ценовые решения и по другим товарам её ассортимента.</w:t>
      </w:r>
      <w:r>
        <w:rPr>
          <w:rStyle w:val="FootnoteReference"/>
        </w:rPr>
        <w:footnoteReference w:id="11"/>
      </w:r>
      <w:r/>
    </w:p>
    <w:p>
      <w:r>
        <w:t>Это различие важно для интерпретации возможного роста гибридных поставок. Часть покупателей может перейти к PHEV после относительного удорожания BEV, но расширение предложения гибридов также способно быть самостоятельной стратегией производителя. Наличие нескольких силовых установок в модельном ряду облегчает перераспределение продаж, тогда как специализация только на BEV сужает выбор. Следовательно, реакция определяется пересечением потребительского замещения и возможностей предложения, а не только формальным различием ставок.</w:t>
      </w:r>
    </w:p>
    <w:p>
      <w:r>
        <w:t>Исследования тарифного эпизода 2018 года в США показывают, зачем разделять цены на разных этапах движения товара. М. Амити, С. Реддинг и Д. Вайнштейн анализируют импортные цены, объёмы и доступные разновидности, а А. Кавалло с соавторами сопоставляют пограничные и розничные цены. Их работы объясняют, почему сохранение цены экспортёра ещё не означает сохранения затрат покупателя, а изменения в рознице могут отличаться от изменений на границе. Для европейской автомобильной торговли это прежде всего требование к выбору показателя: средняя таможенная стоимость и розничная цена отражают разные звенья передачи издержек.</w:t>
      </w:r>
      <w:r>
        <w:rPr>
          <w:rStyle w:val="FootnoteReference"/>
        </w:rPr>
        <w:footnoteReference w:id="12"/>
      </w:r>
      <w:r/>
    </w:p>
    <w:p>
      <w:r>
        <w:t>Общий импортный тариф необходимо отличать от компенсационной меры против субсидируемого импорта. В европейской процедуре рассматриваются субсидирование, ущерб отрасли, причинная связь между ними и интересы ЕС. Поэтому компенсационная мера имеет специальное правовое основание. Вместе с тем наличие такого основания не отвечает на все экономические вопросы о последствиях для покупателей, производителей и бюджета. Правовая проверка субсидирования и оценка общественного результата политики выполняют разные задачи.</w:t>
      </w:r>
      <w:r>
        <w:rPr>
          <w:rStyle w:val="FootnoteReference"/>
        </w:rPr>
        <w:footnoteReference w:id="13"/>
      </w:r>
      <w:r/>
    </w:p>
    <w:p>
      <w:r>
        <w:t>Промышленная поддержка влияет на международную конкуренцию через несколько решений фирмы. Субсидирование капитальных вложений облегчает создание мощностей; финансирование исследований — разработку новой технологии; льготное кредитование — привлечение ресурсов. Поддержка покупателя действует прежде всего через спрос. Даже одинаковые государственные расходы могут давать разный результат в зависимости от того, снижаются ли текущие затраты выпуска, расходы на разработку или цена приобретения автомобиля.</w:t>
      </w:r>
    </w:p>
    <w:p>
      <w:r>
        <w:t>Ф. Биккенбах с соавторами рассматривают китайские субсидии как сочетание прямых и косвенных инструментов и показывают сложность их измерения. Для анализа конкурентоспособности существенно, кто получает поддержку и как она влияет на производственные решения. Сумма помощи сама по себе не характеризует величину преимущества конкретной модели. В настоящем исследовании сведения о поддержке задают институциональный контекст, тогда как перестройка поставок измеряется по внешнеторговым данным.</w:t>
      </w:r>
      <w:r>
        <w:rPr>
          <w:rStyle w:val="FootnoteReference"/>
        </w:rPr>
        <w:footnoteReference w:id="14"/>
      </w:r>
      <w:r/>
    </w:p>
    <w:p>
      <w:r>
        <w:t>Технологический переход усложняет выбор политики, поскольку интересы защищаемой промышленности и доступность электрического транспорта могут изменяться в разных направлениях. Удорожание импортного BEV улучшает относительные условия для одних конкурентов, но результат для электрификации зависит от выбранной покупателем альтернативы. Переход к другому BEV, подключаемому гибриду и автомобилю с обычным двигателем внутреннего сгорания означает разные изменения использования технологии. Следовательно, рост продаж местного производителя и увеличение доли электромобилей не являются одним и тем же результатом.</w:t>
      </w:r>
    </w:p>
    <w:p>
      <w:r>
        <w:t>Х. Доу с соавторами связывают этот вопрос с совокупной стоимостью владения, включающей затраты приобретения и эксплуатации. Авторы сопоставляют сценарии ценового приспособления, переноса производства в ЕС и сокращения доступности китайских BEV. Последствия различаются по странам и автомобильным классам. Важно, что эти стратегии заданы как альтернативные сценарии: работа показывает, как меняется технологический переход при разных ответах производителей, а не устанавливает единственный фактически реализованный ответ.</w:t>
      </w:r>
      <w:r>
        <w:rPr>
          <w:rStyle w:val="FootnoteReference"/>
        </w:rPr>
        <w:footnoteReference w:id="15"/>
      </w:r>
      <w:r/>
    </w:p>
    <w:p>
      <w:r>
        <w:t>Экономический смысл локализации состоит в обмене одних затрат на другие. Производство ближе к покупателю позволяет сократить часть расходов международной поставки, но требует капитала, организации снабжения и взаимодействия с местной производственной средой. Выигрыш зависит от ожидаемого объёма сбыта и горизонта эксплуатации мощностей. Поэтому кратковременный спад импорта и устойчивый перенос производства могут совпасть по направлению изменения торговли, оставаясь разными хозяйственными процессами.</w:t>
      </w:r>
    </w:p>
    <w:p>
      <w:r>
        <w:t>Различаются также ограничения на готовый автомобиль и на его компоненты. Защита сборочного сегмента может облегчать конкуренцию для местного производителя, тогда как удорожание ввозимых деталей повышает его собственные затраты. Д. Коффин с соавторами для USITC разделяют в модели готовые автомобили и комплектующие и прослеживают межотраслевые связи. Такой подход показывает, почему оценка меры зависит от её положения в цепочке: одинаковое ограничение на разных стадиях производства не создаёт одинаковых стимулов.</w:t>
      </w:r>
      <w:r>
        <w:rPr>
          <w:rStyle w:val="FootnoteReference"/>
        </w:rPr>
        <w:footnoteReference w:id="16"/>
      </w:r>
      <w:r/>
    </w:p>
    <w:p>
      <w:r>
        <w:t>Работа Ф. Вингендера с соавторами для МВФ добавляет к этому различия национальной специализации и приспособление капитала. Страна, в которой автомобильный сектор занимает большое место в производстве и экспорте, иначе реагирует на изменение конкуренции, чем экономика с иной отраслевой структурой. Различие сохраняется и внутри ЕС. Поэтому география оформления импортных автомобилей и география производственных последствий могут расходиться: через трансграничные цепочки изменение спроса передаётся предприятиям нескольких стран.</w:t>
      </w:r>
      <w:r>
        <w:rPr>
          <w:rStyle w:val="FootnoteReference"/>
        </w:rPr>
        <w:footnoteReference w:id="17"/>
      </w:r>
      <w:r/>
    </w:p>
    <w:p>
      <w:r>
        <w:t>Оценка благосостояния требует учитывать не только защищённый выпуск. В постановке Барвик с соавторами сравниваются интересы потребителей и производителей, бюджет и внешние эффекты; тариф рассматривается совместно с субсидиями, финансируемыми его доходами. Это меняет сам предмет сравнения: результат отдельной пошлины и результат пакета мер различаются. Получаемое оптимальное сочетание зависит от спроса, конкуренции и бюджетных условий модели.</w:t>
      </w:r>
      <w:r>
        <w:rPr>
          <w:rStyle w:val="FootnoteReference"/>
        </w:rPr>
        <w:footnoteReference w:id="18"/>
      </w:r>
      <w:r/>
    </w:p>
    <w:p>
      <w:r>
        <w:t>Временной горизонт также влияет на ожидаемый ответ. Цены, запасы и состав отгрузок могут изменяться при действующих мощностях. Перестройка производственной сети требует более длительных решений, а результаты поддержки исследований проявляются ещё иначе. Поэтому анализ периода непосредственно после введения меры прежде всего характеризует раннюю адаптацию. При его интерпретации необходимо учитывать, мог ли наблюдаемый процесс реализоваться в рассматриваемые сроки.</w:t>
      </w:r>
    </w:p>
    <w:p>
      <w:r>
        <w:t>Таким образом, теория не задаёт единственного направления изменения всей автомобильной торговли после повышения барьера. Прямое удорожание затронутого товара сочетается с ценовыми решениями фирм, замещением между моделями, изменением происхождения и ассортиментной перестройкой. Для последующего анализа важно установить, какие из этих процессов совместимы с наблюдаемой динамикой и какие показатели позволяют их различать. Именно это связывает рассмотрение торговой политики с исследованием адаптации поставок.</w:t>
      </w:r>
    </w:p>
    <w:p>
      <w:pPr>
        <w:pStyle w:val="ThesisSection"/>
      </w:pPr>
      <w:r>
        <w:t>1.3 Механизмы адаптации экспортных поставок к торговым ограничениям</w:t>
      </w:r>
    </w:p>
    <w:p>
      <w:r>
        <w:t>Под адаптацией поставок в настоящей работе понимается изменение их объёма, товарного состава и распределения по направлениям при изменении условий торговли. Эти измерения связаны с решениями разных участников: производитель определяет ассортимент и место выпуска, импортёр — закупки, посредники — запасы и распределение. Поэтому сохранение общего потока может сопровождаться существенной перестройкой его структуры, а рост отдельной категории — сочетаться со снижением другой.</w:t>
      </w:r>
    </w:p>
    <w:p>
      <w:r>
        <w:t>Товарное переключение становится возможным, когда близкие по назначению продукты сталкиваются с разными условиями доступа на рынок. Если дополнительные издержки затрагивают BEV, относительное положение других технологий может улучшиться. Но возможность расширить предложение PHEV или HEV зависит от наличия моделей, производственных мощностей и спроса. Поставщик, уже выпускающий несколько типов автомобилей, и производитель, специализирующийся на одной технологии, имеют неодинаковый набор доступных решений.</w:t>
      </w:r>
    </w:p>
    <w:p>
      <w:r>
        <w:t>Работа А. Минондо показывает, почему реакцию экспортёров нельзя оценивать только по непосредственно затронутому товару. В эпизоде американских тарифов на испанскую продукцию автор обнаруживает сохранение выручки экспортёров при изменении происхождения части товаров и переходе к незатронутым разновидностям. Для проверки используются фирменные и товарные данные, причём возможность проследить переключение на уровне фирмы различается между продуктами. Автор отдельно указывает, что несовпадение классификаций ограничивает такую проверку для вина и сыра.</w:t>
      </w:r>
      <w:r>
        <w:rPr>
          <w:rStyle w:val="FootnoteReference"/>
        </w:rPr>
        <w:footnoteReference w:id="19"/>
      </w:r>
      <w:r/>
    </w:p>
    <w:p>
      <w:r>
        <w:t>Экономический механизм этого приспособления состоит в сохранении доступа к покупателю за счёт изменения характеристик поставляемого продукта. Однако его осуществимость зависит от технологии производства. Перераспределить отгрузки между уже выпускаемыми моделями автомобиля и освоить новую силовую установку — разные решения по затратам и срокам. Поэтому для автомобильной отрасли важны исходный ассортимент и наличие готовых альтернатив. Из исследования Минондо следует возможность структурной адаптации, но не одинаковая скорость её реализации во всех отраслях.</w:t>
      </w:r>
    </w:p>
    <w:p>
      <w:r>
        <w:t>Наблюдаемым признаком товарной перестройки служит сочетание абсолютного объёма и доли категории. Доля гибридов способна увеличиться при их росте, сокращении BEV либо одновременном движении обоих потоков. В последнем случае вклад каждой стороны зависит от масштаба изменения. Поэтому вывод о переключении требует сначала установить, что произошло с отдельными категориями и с общей корзиной. Мотивы конкретного производителя проверяются уже на другом уровне данных.</w:t>
      </w:r>
    </w:p>
    <w:p>
      <w:r>
        <w:t>Второе измерение адаптации связано со стоимостью. Стоимость потока определяется количеством автомобилей и средней стоимостью единицы; каждый из этих компонентов может меняться. Расширение поставок сравнительно недорогих моделей, например, увеличивает физический объём быстрее общей стоимости. Напротив, переход к более дорогому модельному составу способен поддерживать стоимостный поток при сокращении числа машин. Эти варианты имеют разный экономический смысл, хотя в общей выручке различие может быть неочевидно.</w:t>
      </w:r>
    </w:p>
    <w:p>
      <w:r>
        <w:t>Р. Фенстра и Дж. Ромалис рассматривают связь международных цен с качеством и объясняют необходимость отделять наблюдаемую стоимость единицы от цены сопоставимого качества. Для автомобильных данных это означает, что отношение таможенной стоимости к количеству машин отражает также состав моделей. Его снижение может быть связано с ценой, качественными характеристиками или изменением весов различных автомобилей. Поэтому в дальнейшем используется термин «средняя таможенная стоимость», а выделяемый стоимостный компонент трактуется с учётом состава потока.</w:t>
      </w:r>
      <w:r>
        <w:rPr>
          <w:rStyle w:val="FootnoteReference"/>
        </w:rPr>
        <w:footnoteReference w:id="20"/>
      </w:r>
      <w:r/>
    </w:p>
    <w:p>
      <w:r>
        <w:t>Количество и стоимость характеризуют также разные стороны позиции Китая в европейском ввозе. Его доля в машинах зависит от физического объёма относительно других внешних поставщиков; доля в евро — дополнительно от средней стоимости сравниваемых потоков. Эти доли могут двигаться по-разному даже при одинаковых границах товарной корзины. Для анализа конкурентного присутствия такое расхождение содержательно: расширение числа поставленных машин и увеличение их веса в расходах импортёров не совпадают по определению.</w:t>
      </w:r>
    </w:p>
    <w:p>
      <w:r>
        <w:t>Географическая адаптация требует разделять два уровня. Первый — перенаправление экспорта между ЕС и другими мировыми рынками. Второй — перераспределение ввоза между государствами внутри ЕС. В первом случае изменяются внешние направления сбыта; во втором наблюдается география оформления в пределах общего объединения. Переход от одной страны ЕС к другой сам по себе не означает ухода от общеевропейской торговой меры. Для настоящей работы основным является именно второе измерение, доступное по сопоставимым таможенным записям.</w:t>
      </w:r>
    </w:p>
    <w:p>
      <w:r>
        <w:t>На мировом уровне ответ третьих стран может выходить за рамки простой замены одного поставщика другим. П. Файгельбаум с соавторами исследуют глобальное перераспределение торговли после конфликта США и Китая и показывают изменение экспорта стран, непосредственно не участвовавших в повышении взаимных тарифов. Для нашего исследования это означает, что остальные внешние поставщики ЕС также могут приспосабливаться к новой конкуренции. Их совокупность служит сравнительным ориентиром, динамика которого является частью общего торгового изменения.</w:t>
      </w:r>
      <w:r>
        <w:rPr>
          <w:rStyle w:val="FootnoteReference"/>
        </w:rPr>
        <w:footnoteReference w:id="21"/>
      </w:r>
      <w:r/>
    </w:p>
    <w:p>
      <w:r>
        <w:t>И. Балтеану, М. Морено и Ф. Виани рассматривают перенаправление китайского экспорта в ЕС после американских тарифов. Эта работа дополняет глобальный подход анализом неоднородности по товарам и рынкам назначения. Совместное чтение этих исследований даёт основание ожидать различий между направлениями, но не предполагает равной компенсации каждого сокращённого потока увеличением другого. Возможность перенаправления зависит от характеристик предложения и от условий спроса на принимающем рынке.</w:t>
      </w:r>
      <w:r>
        <w:rPr>
          <w:rStyle w:val="FootnoteReference"/>
        </w:rPr>
        <w:footnoteReference w:id="22"/>
      </w:r>
      <w:r/>
    </w:p>
    <w:p>
      <w:r>
        <w:t>Внутри ЕС распределение ввоза может отражать организацию обслуживания рынка, роль действующих сетей и порядок оформления. Затраты освоения новых направлений делают экономически правдоподобным расширение уже сложившихся связей, рассмотренное в параграфе 1.1. Однако страна оформления не тождественна конечному рынку сбыта. Поэтому выделение продолжающих и новых направлений является характеристикой наблюдаемой торговли, а не прямой проверкой фирменной модели выхода на рынок.</w:t>
      </w:r>
    </w:p>
    <w:p>
      <w:r>
        <w:t>Интенсивный компонент отражает изменение потока там, где он существовал в обоих сравниваемых периодах. Появление направления означает положительный поток при его подтверждённом отсутствии в исходном периоде; прекращение — обратный переход. Увеличение числа активных стран и вклад новых стран в общий прирост при этом различаются. Несколько новых направлений с небольшими объёмами могут сочетаться с основным расширением ввоза через уже действующие. Классификация требует проверять наблюдаемость: отсутствие записи в источнике не всегда означает нулевой поток.</w:t>
      </w:r>
    </w:p>
    <w:p>
      <w:r>
        <w:t>Другую сторону географии характеризует концентрация. Индекс Херфиндаля–Хиршмана представляет сумму квадратов долей стран; он сильнее реагирует на вес крупных направлений. Если доли выражены в единицах, обратная величина индекса показывает эффективное число равновесных направлений. В отличие от простого подсчёта стран этот показатель учитывает неравномерность распределения. Его экономическая интерпретация зависит от того, построены ли доли по количеству или стоимости и для одной технологии либо всей корзины.</w:t>
      </w:r>
    </w:p>
    <w:p>
      <w:r>
        <w:t>Совокупная концентрация зависит не только от географии каждой технологии, но и от их весов и совпадения крупнейших направлений. Это можно показать на условном примере. Пусть каждая из двух технологий поступает исключительно через одну страну, причём страны различаются. При весах технологий 80 и 20 процентов общий индекс равен 0,68, а при равных весах — 0,50. География внутри технологий не изменилась, обе остались полностью сконцентрированными. Общий показатель снизился из-за состава корзины. Если бы обе технологии поступали через одну и ту же страну, изменение их весов не дало бы такого результата.</w:t>
      </w:r>
    </w:p>
    <w:p>
      <w:r>
        <w:t>Следовательно, общий индекс нельзя интерпретировать как простое среднее отдельных технологических индексов. Необходимо учитывать распределение каждой технологии по странам и их сочетание в общей корзине. Содержательный вопрос состоит в том, какая часть наблюдаемого изменения связана с товарными весами, а какая — с географией внутри категорий. Поскольку эти элементы меняются совместно, вклад замены весов зависит от того, при какой географии она выполняется.</w:t>
      </w:r>
    </w:p>
    <w:p>
      <w:r>
        <w:t>Методическое решение такой зависимости рассматривается в работе Э. Шоррокса. В разложении на основе значения Шепли вклад фактора усредняется по возможным порядкам его изменения. Для двух блоков это означает равный учёт двух последовательностей: сначала меняется состав, затем география, и наоборот. Сумма вкладов воспроизводит общее изменение показателя. Симметрия правила устраняет произвольный выбор одного порядка, но сохраняет необходимость содержательно определить сами факторы и базу сравнения.</w:t>
      </w:r>
      <w:r>
        <w:rPr>
          <w:rStyle w:val="FootnoteReference"/>
        </w:rPr>
        <w:footnoteReference w:id="23"/>
      </w:r>
      <w:r/>
    </w:p>
    <w:p>
      <w:r>
        <w:t>Снижение географической концентрации свидетельствует о более равномерном статистическом распределении ввоза. Для вывода об устойчивости поставок необходимо дополнительно знать, насколько независимы используемые маршруты и инфраструктура. Несколько стран оформления способны опираться на общие порты или перевозчиков. Поэтому в настоящей работе концентрация рассматривается как характеристика структуры потока; оценка логистической надёжности не выводится из одного индекса.</w:t>
      </w:r>
    </w:p>
    <w:p>
      <w:r>
        <w:t>Наконец, адаптация различается по времени. Ожидание изменения условий может ускорять закупки и накопление запасов, а после вступления меры в силу — временно снижать потребность в новых поставках. Кавалло с соавторами обсуждают такую реакцию в исследуемом американском эпизоде. Для автомобильной торговли это одно из объяснений расхождения дат ввоза и продаж. Поэтому последующий анализ учитывает последовательность торговых фаз, сезонность и предшествующую траекторию, а не ограничивается сравнением двух соседних месяцев.</w:t>
      </w:r>
      <w:r>
        <w:rPr>
          <w:rStyle w:val="FootnoteReference"/>
        </w:rPr>
        <w:footnoteReference w:id="24"/>
      </w:r>
      <w:r/>
    </w:p>
    <w:p>
      <w:r>
        <w:t>Таким образом, адаптация представляет систему связанных изменений. Масштаб определяет объём торговли, состав — распределение между технологиями и моделями, география — распределение наблюдаемых потоков по странам. Различение этих элементов позволяет объяснить, почему рост гибридов, снижение общей концентрации и сохранение поставок через прежние направления могут происходить одновременно. Для их анализа далее используются сопоставимые доли, уровни и разложения, а связь с торговыми мерами проверяется отдельно.</w:t>
      </w:r>
    </w:p>
    <w:p>
      <w:pPr>
        <w:pStyle w:val="ThesisSection"/>
      </w:pPr>
      <w:r>
        <w:t>1.4 Современные исследования и постановка собственного вопроса</w:t>
      </w:r>
    </w:p>
    <w:p>
      <w:r>
        <w:t>Рассмотренные подходы по-разному объясняют изменение автомобильной торговли. Фирменные модели раскрывают выбор производителей, модели спроса — перераспределение покупок между автомобилями, модели общего равновесия — передачу изменений между секторами и странами. Эмпирические исследования торговых эпизодов устанавливают наблюдаемые реакции на конкретные ограничения. Для постановки собственного вопроса важно сопоставить не только их результаты, но и предпосылки, определяющие экономический смысл этих результатов.</w:t>
      </w:r>
    </w:p>
    <w:p>
      <w:r>
        <w:t>Модель Мелица объясняет отбор производителей через различия производительности и затраты участия в экспорте. Автомобильная модель Хэда и Майера добавляет выбор модели для рынка и сборочной площадки для поставки. Эти подходы дополняют друг друга: первый объясняет, почему фирмы неодинаково участвуют в торговле, второй — почему продажи бренда могут сохраняться при изменении производственного происхождения. В обеих постановках существенны решения, которые агрегированный поток объединяет в одну величину.</w:t>
      </w:r>
      <w:r>
        <w:rPr>
          <w:rStyle w:val="FootnoteReference"/>
        </w:rPr>
        <w:footnoteReference w:id="25"/>
      </w:r>
      <w:r/>
    </w:p>
    <w:p>
      <w:r>
        <w:t>При этом представление о конкуренции в данных моделях отличается от подхода Барвик с соавторами. У Хэда и Майера используется постоянная эластичность замещения и постоянная наценка, тогда как у Барвик ценовые решения многопродуктовых фирм зависят от оцениваемого замещения между моделями. Это различие объясняет, почему одинаковое изменение издержек нельзя переводить в готовый параметр ценового переноса без выбора модели спроса. Для нашего исследования оно обосновывает совместное рассмотрение количества и стоимости; сами параметры автомобильного спроса по таможенной панели не оцениваются.</w:t>
      </w:r>
      <w:r>
        <w:rPr>
          <w:rStyle w:val="FootnoteReference"/>
        </w:rPr>
        <w:footnoteReference w:id="26"/>
      </w:r>
      <w:r/>
    </w:p>
    <w:p>
      <w:r>
        <w:t>Сопоставление работы Доу с соавторами и исследования Барвик раскрывает различие между сценарным и поведенческим способом анализа. Доу задаёт альтернативные ответы производителей и рассчитывает, как они меняют стоимость владения и электрификацию по странам и классам. Барвик использует модель потребительского выбора и ценовой конкуренции для оценки пакетов торговой и промышленной политики. В первом случае диапазон результатов связан с принятым сценарием реакции, во втором — с оценёнными зависимостями спроса и принятым механизмом конкуренции. Эти результаты отвечают на разные вопросы и не образуют единой оценки фактического тарифного эффекта.</w:t>
      </w:r>
      <w:r>
        <w:rPr>
          <w:rStyle w:val="FootnoteReference"/>
        </w:rPr>
        <w:footnoteReference w:id="27"/>
      </w:r>
      <w:r/>
    </w:p>
    <w:p>
      <w:r>
        <w:t>Особенно существенна связь сценария с исходными данными. В работе Доу база рынка относится к первой половине 2024 года, а стоимость локализации приближается через сопоставление цен моделей, выпускаемых в Китае и ЕС. С методической точки зрения такое приближение требует осторожности: межрыночная цена может отражать не только производственные затраты, но и позиционирование, налоги и различия конкуренции. Это ограничение не отменяет ценности сценария; оно показывает, какая часть ответа зависит от способа задать условия локализации. При анализе наших данных, напротив, фиксируются реализованные потоки за выбранный период, а не рассчитывается траектория принятия технологии до 2035 года.</w:t>
      </w:r>
    </w:p>
    <w:p>
      <w:r>
        <w:t>Межотраслевые модели меняют масштаб вопроса. Коффин с соавторами отделяют готовые транспортные средства от компонентов, но объединяют электромобили и гибриды в один сектор, причём рассматривают не только легковые машины. В работе Вингендера с соавторами модели МВФ используют общий автомобильный сектор без отдельного производственного сектора EV; воздействие электрификации передаётся через заданные изменения производительности и спроса. Такая агрегация позволяет исследовать межотраслевые и макроэкономические последствия, но не предназначена для измерения перестройки между новыми BEV, бензиновыми PHEV и HEV.</w:t>
      </w:r>
      <w:r>
        <w:rPr>
          <w:rStyle w:val="FootnoteReference"/>
        </w:rPr>
        <w:footnoteReference w:id="28"/>
      </w:r>
      <w:r/>
    </w:p>
    <w:p>
      <w:r>
        <w:t>Здесь возникает содержательное различие между широтой охвата и товарной детализацией. Секторальная модель прослеживает распространение изменения по экономике, опираясь на калиброванные производственные связи. Детальная торговая панель позволяет разделять технологии, сохраняя более узкий объект — зарегистрированный внешнеторговый поток. Для настоящей работы выбран второй масштаб. Его преимущество состоит в сопоставимости наблюдений по категориям и странам; вопросы выпуска и благосостояния рассматриваются как внешняя область применения, требующая дополнительных данных.</w:t>
      </w:r>
    </w:p>
    <w:p>
      <w:r>
        <w:t>Эмпирическая литература показывает, почему даже корректно измеренный суммарный поток может быть недостаточным. В работе Минондо снижение импорта товара определённого происхождения сочетается с сохранением выручки экспортёров, поскольку меняется состав поставок. У Файгельбаума с соавторами изменяются позиции третьих стран в мировой торговле. Общее для этих работ состоит в том, что границы непосредственно затронутого потока уже границ хозяйственного приспособления. Различие заключается в наблюдаемом механизме: адаптация ассортимента и происхождения у экспортёров либо перераспределение между странами.</w:t>
      </w:r>
      <w:r>
        <w:rPr>
          <w:rStyle w:val="FootnoteReference"/>
        </w:rPr>
        <w:footnoteReference w:id="29"/>
      </w:r>
      <w:r/>
    </w:p>
    <w:p>
      <w:r>
        <w:t>Для исследования китайских автомобилей из этого следует необходимость сопоставлять отдельные технологии и общую корзину. Уменьшение BEV не описывает весь ответ, если одновременно растут другие категории; изменение корзины не описывает географию, если технологии распределены между странами по-разному. В отличие от прямого воспроизведения фирменного механизма такая постановка требует разложить наблюдаемый результат на согласованные компоненты. Она также позволяет отделить расширение продолжающих направлений от появления новых.</w:t>
      </w:r>
    </w:p>
    <w:p>
      <w:r>
        <w:t>Ближайшим эмпирическим аналогом первоначального вопроса является бакалаврское исследование Ю. Кэ о ввозе китайских BEV в ЕС. В нём используются месячные данные за январь 2022 — январь 2026 года, а Китай сопоставляется с Японией, Республикой Корея и США методом разностей разностей. Анализируются количество, стоимость и средняя стоимость единицы. В самой работе обсуждаются неполная параллельность предшествующих трендов, ограниченность группы сравнения и отсутствие учёта серийной корреляции. Поэтому она полезна как прямой аналог данных и постановки, при сохранении её статуса бакалаврской работы.</w:t>
      </w:r>
      <w:r>
        <w:rPr>
          <w:rStyle w:val="FootnoteReference"/>
        </w:rPr>
        <w:footnoteReference w:id="30"/>
      </w:r>
      <w:r/>
    </w:p>
    <w:p>
      <w:r>
        <w:t>Сопоставление с Кэ уточняет, что расширение набора контролей или стран само по себе не образует содержательного вклада. Важно изменить вопрос, на который отвечает расчёт. В нашем случае акцент переносится с одной категории и единого показателя последующей динамики на взаимосвязь товарных весов, географии внутри технологий и состава продолжающих направлений. Кроме того, предшествующая динамика рассматривается как часть интерпретации: рост после события может продолжать ранее сложившуюся траекторию. Учёт этой возможности влияет на смысл итогового фазового коэффициента.</w:t>
      </w:r>
    </w:p>
    <w:p>
      <w:r>
        <w:t>Ещё один близкий ориентир — европейская проверка в приложении к работе Барвик. В ней используются регистрации BEV и PHEV существовавших моделей пяти китайских марок в шести странах ЕС и синтетическая сравнительная траектория. Следовательно, само включение PHEV уже представлено в литературе. Отличие нашей единицы анализа состоит в производственном происхождении товара, охвате всех стран ЕС и возможности изменения модельного состава внутри таможенного потока. Регистрации фиксированного набора моделей и ввоз автомобилей китайского происхождения способны расходиться без логического противоречия.</w:t>
      </w:r>
      <w:r>
        <w:rPr>
          <w:rStyle w:val="FootnoteReference"/>
        </w:rPr>
        <w:footnoteReference w:id="31"/>
      </w:r>
      <w:r/>
    </w:p>
    <w:p>
      <w:r>
        <w:t>Наблюдаемая реакция европейского рынка рассматривается также в комментарии Х. Доу с соавторами в Joule, посвящённом расширению предложения и доступности китайских электромобилей. Наличие этой публикации дополнительно подтверждает, что вопрос адаптации уже входит в предмет современной дискуссии.</w:t>
      </w:r>
      <w:r>
        <w:rPr>
          <w:rStyle w:val="FootnoteReference"/>
        </w:rPr>
        <w:footnoteReference w:id="32"/>
      </w:r>
      <w:r/>
    </w:p>
    <w:p>
      <w:r>
        <w:t>На этой основе центральный вопрос формулируется следующим образом: как изменение товарного состава сочетается с изменением географической концентрации поставок новых электромобилей и бензиновых гибридов китайского происхождения в ЕС? Для ответа необходимо сопоставить общую корзину с отдельными технологиями, количество со стоимостью и общий прирост с вкладом направлений, на которых поток уже существовал. Такое сопоставление позволяет определить, означает ли изменение агрегированного показателя однотипную перестройку всех составляющих.</w:t>
      </w:r>
    </w:p>
    <w:p>
      <w:r>
        <w:t>Собственный эмпирический вклад состоит в совместном измерении этих компонентов на согласованной месячной панели. Для структурного анализа используется известный принцип симметричного распределения вкладов, рассмотренный Шорроксом; он не заявляется новой математической конструкцией. Вклад определяется полученным разложением конкретного торгового изменения и тем, какие экономические объяснения согласуются с его составом. Подробные формулы, базы сравнения и проверки точного сложения компонентов относятся ко второй главе.</w:t>
      </w:r>
      <w:r>
        <w:rPr>
          <w:rStyle w:val="FootnoteReference"/>
        </w:rPr>
        <w:footnoteReference w:id="33"/>
      </w:r>
      <w:r/>
    </w:p>
    <w:p>
      <w:r>
        <w:t>Из теории вытекают четыре аналитических положения, организующие дальнейшую проверку. Первое связывает изменение общей концентрации с сочетанием товарных весов и географии внутри технологий: одинаковое движение отдельных категорий не предполагается. Второе допускает преобладающий вклад продолжающих направлений в расширение гибридных поставок. Его экономическая мотивация связана с использованием уже действующих связей, а проверка проводится на уровне наблюдаемых стран оформления. Третье предполагает возможность различной динамики физической и стоимостной долей Китая вследствие изменения средней стоимости и состава потоков.</w:t>
      </w:r>
    </w:p>
    <w:p>
      <w:r>
        <w:t>Четвёртое положение касается дополнительного изменения относительных потоков PHEV после введения окончательных мер при учёте сезонности и предшествующей траектории. Это положение проверяется отдельно от структурных тождеств: его результат зависит от модели и сравнительной группы. Положения сформулированы как рабочие направления анализа; предварительная регистрация гипотез не проводилась, а постановка уточнялась после первоначального изучения данных. Они не используются как заранее доказанные объяснения наблюдаемой динамики.</w:t>
      </w:r>
    </w:p>
    <w:p>
      <w:r>
        <w:t>В исследовании тем самым разделяются описательное разложение и проверка условной связи. Первое устанавливает, из каких наблюдаемых компонентов складывается изменение. Вторая использует PPML для неотрицательных торговых потоков и сопоставляет фазы при включённых контролях. Работа Ж. Сантуша Силвы и С. Тенрейро обосновывает применение такого оценивателя без предварительного логарифмирования зависимой переменной; выбор оценивателя при этом не заменяет обоснование сравнительной конструкции.</w:t>
      </w:r>
      <w:r>
        <w:rPr>
          <w:rStyle w:val="FootnoteReference"/>
        </w:rPr>
        <w:footnoteReference w:id="34"/>
      </w:r>
      <w:r/>
    </w:p>
    <w:p>
      <w:r>
        <w:t>Таким образом, теоретическая основа работы связывает решения производителей с измерением товарной и географической перестройки. Во второй главе эта постановка реализуется через сопоставимую панель, разложения и модельные проверки. На установленные изменения торговли будут опираться последующие рекомендации.</w:t>
      </w:r>
    </w:p>
    <w:p>
      <w:pPr>
        <w:pStyle w:val="ThesisSection"/>
      </w:pPr>
      <w:r>
        <w:t>Выводы по первой главе</w:t>
      </w:r>
    </w:p>
    <w:p>
      <w:r>
        <w:t>Теоретическая основа исследования связывает автомобильную торговлю с неоднородностью производителей, затратами участия в зарубежных рынках и организацией многонационального производства. При изменении торговых условий фирмы способны менять объём продаж, ассортимент и источник поставки. Возможность каждого решения определяется исходной производственной сетью и доступными моделями. Поэтому происхождение автомобиля, принадлежность марки и конечный рынок необходимо различать при переходе от поведения фирм к таможенным показателям.</w:t>
      </w:r>
    </w:p>
    <w:p>
      <w:r>
        <w:t>Реакция на торговый барьер зависит от замещения между автомобилями и ценовых решений производителей. В условиях технологического перехода защита определённого выпуска и доступность электрического транспорта могут изменяться по-разному. Рассмотренные работы также показывают значение стадии производственной цепочки и горизонта адаптации. Сценарий локализации, модель ценовой конкуренции и наблюдаемое изменение импорта характеризуют разные стороны одного процесса и требуют соответствующих данных.</w:t>
      </w:r>
    </w:p>
    <w:p>
      <w:r>
        <w:t>В товарном анализе необходимо разделять BEV, PHEV и HEV, абсолютные количества и доли, общую стоимость и среднюю стоимость единицы. В географическом анализе следует учитывать продолжающие и новые направления, неравномерность распределения и различие между оформлением и конечным потреблением. Общая концентрация зависит от товарных весов и сочетания географии технологий. Поэтому её снижение возможно даже при неизменной концентрации каждой категории; объяснение такого результата требует отдельного разложения состава и географии.</w:t>
      </w:r>
    </w:p>
    <w:p>
      <w:r>
        <w:t>Сопоставление литературы определило задачу исследования: установить, как совместно меняются товарный состав и распределение китайских поставок новых электромобилей и бензиновых гибридов между странами ЕС. Эмпирический вклад состоит в измерении компонентов этой перестройки по количеству и стоимости. Связь с торговыми фазами проверяется дополнительно с учётом предшествующей динамики.</w:t>
      </w:r>
    </w:p>
    <w:sectPr w:rsidR="00FC693F" w:rsidRPr="0006063C" w:rsidSect="00034616">
      <w:footerReference w:type="default" r:id="rId9"/>
      <w:pgSz w:w="11906" w:h="16838"/>
      <w:pgMar w:top="1134" w:right="567" w:bottom="1134"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right"/>
    </w:pPr>
    <w:fldSimple w:instr="PAGE">
      <w:r>
        <w:rPr>
          <w:sz w:val="20"/>
        </w:rPr>
        <w:t>1</w:t>
      </w:r>
    </w:fldSimple>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pPr>
      <w:r>
        <w:rPr>
          <w:rStyle w:val="FootnoteReference"/>
        </w:rPr>
        <w:footnoteRef/>
      </w:r>
      <w:r>
        <w:t xml:space="preserve"> Melitz M. J. The Impact of Trade on Intra-Industry Reallocations and Aggregate Industry Productivity // Econometrica 71(6),1695–1725. 2003. DOI 10.1111/1468-0262.00467. С. 1695–1698.</w:t>
      </w:r>
    </w:p>
  </w:footnote>
  <w:footnote w:id="2">
    <w:p>
      <w:pPr>
        <w:pStyle w:val="FootnoteText"/>
      </w:pPr>
      <w:r>
        <w:rPr>
          <w:rStyle w:val="FootnoteReference"/>
        </w:rPr>
        <w:footnoteRef/>
      </w:r>
      <w:r>
        <w:t xml:space="preserve"> Head K., Mayer T. Brands in Motion: How frictions shape multinational production. Banque de France Working Paper 629. 2017. Раздел 3, с. 14–19 (рабочая версия).</w:t>
      </w:r>
    </w:p>
  </w:footnote>
  <w:footnote w:id="3">
    <w:p>
      <w:pPr>
        <w:pStyle w:val="FootnoteText"/>
      </w:pPr>
      <w:r>
        <w:rPr>
          <w:rStyle w:val="FootnoteReference"/>
        </w:rPr>
        <w:footnoteRef/>
      </w:r>
      <w:r>
        <w:t xml:space="preserve"> IEA. Global EV Outlook 2025. Paris, 2025. P. 31–34.</w:t>
      </w:r>
    </w:p>
  </w:footnote>
  <w:footnote w:id="4">
    <w:p>
      <w:pPr>
        <w:pStyle w:val="FootnoteText"/>
      </w:pPr>
      <w:r>
        <w:rPr>
          <w:rStyle w:val="FootnoteReference"/>
        </w:rPr>
        <w:footnoteRef/>
      </w:r>
      <w:r>
        <w:t xml:space="preserve"> U.S. Department of Energy. Alternative Fuels Data Center. All-Electric Vehicles. Раздел How It Works (дата обращения: 27.10.2026).</w:t>
      </w:r>
    </w:p>
  </w:footnote>
  <w:footnote w:id="5">
    <w:p>
      <w:pPr>
        <w:pStyle w:val="FootnoteText"/>
      </w:pPr>
      <w:r>
        <w:rPr>
          <w:rStyle w:val="FootnoteReference"/>
        </w:rPr>
        <w:footnoteRef/>
      </w:r>
      <w:r>
        <w:t xml:space="preserve"> U.S. Department of Energy. Alternative Fuels Data Center. Plug-In Hybrid Electric Vehicles. Разделы How It Works, Fueling and Driving Options (дата обращения: 27.10.2026).</w:t>
      </w:r>
    </w:p>
  </w:footnote>
  <w:footnote w:id="6">
    <w:p>
      <w:pPr>
        <w:pStyle w:val="FootnoteText"/>
      </w:pPr>
      <w:r>
        <w:rPr>
          <w:rStyle w:val="FootnoteReference"/>
        </w:rPr>
        <w:footnoteRef/>
      </w:r>
      <w:r>
        <w:t xml:space="preserve"> U.S. Department of Energy. Alternative Fuels Data Center. Hybrid Electric Vehicles. Разделы Regenerative Braking, Fuel-Efficient System Design (дата обращения: 27.10.2026).</w:t>
      </w:r>
    </w:p>
  </w:footnote>
  <w:footnote w:id="7">
    <w:p>
      <w:pPr>
        <w:pStyle w:val="FootnoteText"/>
      </w:pPr>
      <w:r>
        <w:rPr>
          <w:rStyle w:val="FootnoteReference"/>
        </w:rPr>
        <w:footnoteRef/>
      </w:r>
      <w:r>
        <w:t xml:space="preserve"> European Commission. EU Commission imposes countervailing duties on imports of battery electric vehicles (BEVs) from China. Access 2Markets, 12.12.2024. Описание охвата меры по Регламенту (ЕС) 2024/2754 (дата обращения: 27.10.2026).</w:t>
      </w:r>
    </w:p>
  </w:footnote>
  <w:footnote w:id="8">
    <w:p>
      <w:pPr>
        <w:pStyle w:val="FootnoteText"/>
      </w:pPr>
      <w:r>
        <w:rPr>
          <w:rStyle w:val="FootnoteReference"/>
        </w:rPr>
        <w:footnoteRef/>
      </w:r>
      <w:r>
        <w:t xml:space="preserve"> Eurostat. International trade in goods — detailed data. Reference metadata. Разделы 3.2–3.4 (дата обращения: 27.10.2026).</w:t>
      </w:r>
    </w:p>
  </w:footnote>
  <w:footnote w:id="9">
    <w:p>
      <w:pPr>
        <w:pStyle w:val="FootnoteText"/>
      </w:pPr>
      <w:r>
        <w:rPr>
          <w:rStyle w:val="FootnoteReference"/>
        </w:rPr>
        <w:footnoteRef/>
      </w:r>
      <w:r>
        <w:t xml:space="preserve"> Eurostat. Trade in goods. European statistics learning hub. Раздел What is the Rotterdam effect? (дата обращения: 27.10.2026).</w:t>
      </w:r>
    </w:p>
  </w:footnote>
  <w:footnote w:id="10">
    <w:p>
      <w:pPr>
        <w:pStyle w:val="FootnoteText"/>
      </w:pPr>
      <w:r>
        <w:rPr>
          <w:rStyle w:val="FootnoteReference"/>
        </w:rPr>
        <w:footnoteRef/>
      </w:r>
      <w:r>
        <w:t xml:space="preserve"> IEA. Global EV Outlook 2025. Paris, 2025. P. 33–35, примечания к данным международной торговли.</w:t>
      </w:r>
    </w:p>
  </w:footnote>
  <w:footnote w:id="11">
    <w:p>
      <w:pPr>
        <w:pStyle w:val="FootnoteText"/>
      </w:pPr>
      <w:r>
        <w:rPr>
          <w:rStyle w:val="FootnoteReference"/>
        </w:rPr>
        <w:footnoteRef/>
      </w:r>
      <w:r>
        <w:t xml:space="preserve"> Barwick P. J., Collison J., Goldberg P. K. et al. From Trade War to Green Transition: Optimal Electric Vehicle Tariffs with Revenue-Funded Subsidies // NBER Working Paper 35334, June 2026. DOI 10.3386/w35334. Разделы 4.1–4.2.</w:t>
      </w:r>
    </w:p>
  </w:footnote>
  <w:footnote w:id="12">
    <w:p>
      <w:pPr>
        <w:pStyle w:val="FootnoteText"/>
      </w:pPr>
      <w:r>
        <w:rPr>
          <w:rStyle w:val="FootnoteReference"/>
        </w:rPr>
        <w:footnoteRef/>
      </w:r>
      <w:r>
        <w:t xml:space="preserve"> Amiti M., Redding S. J., Weinstein D. E. The Impact of the 2018 Tariffs on Prices and Welfare // Journal of Economic Perspectives 33(4),187–210. 2019. DOI 10.1257/jep.33.4.187. С. 187–189. Cavallo A., Gopinath G., Neiman B., Tang J. Tariff Pass-Through at the Border and at the Store: Evidence from US Trade Policy. NBER Working Paper 26396. 2019. Аннотация и введение.</w:t>
      </w:r>
    </w:p>
  </w:footnote>
  <w:footnote w:id="13">
    <w:p>
      <w:pPr>
        <w:pStyle w:val="FootnoteText"/>
      </w:pPr>
      <w:r>
        <w:rPr>
          <w:rStyle w:val="FootnoteReference"/>
        </w:rPr>
        <w:footnoteRef/>
      </w:r>
      <w:r>
        <w:t xml:space="preserve"> European Commission. Anti-subsidy measures; Anti-subsidy investigations. Trade and Economic Security. Описание инструментов и предмета расследования (дата обращения: 27.10.2026).</w:t>
      </w:r>
    </w:p>
  </w:footnote>
  <w:footnote w:id="14">
    <w:p>
      <w:pPr>
        <w:pStyle w:val="FootnoteText"/>
      </w:pPr>
      <w:r>
        <w:rPr>
          <w:rStyle w:val="FootnoteReference"/>
        </w:rPr>
        <w:footnoteRef/>
      </w:r>
      <w:r>
        <w:t xml:space="preserve"> Bickenbach F., Dohse D., Langhammer R. J., Liu W.-H. EU Concerns About Chinese Subsidies: What the Evidence Suggests // Intereconomics 59(4),214–221. 2024. DOI 10.2478/ie-2024-0044.</w:t>
      </w:r>
    </w:p>
  </w:footnote>
  <w:footnote w:id="15">
    <w:p>
      <w:pPr>
        <w:pStyle w:val="FootnoteText"/>
      </w:pPr>
      <w:r>
        <w:rPr>
          <w:rStyle w:val="FootnoteReference"/>
        </w:rPr>
        <w:footnoteRef/>
      </w:r>
      <w:r>
        <w:t xml:space="preserve"> Dou H. et al. Distributional impacts of EU tariffs on Chinese electric vehicles across European markets // Nature Energy; accepted author version. 2026. DOI 10.1038/s41560-026-02105-7. Принятая авторская версия, с. 5–9, 18–19.</w:t>
      </w:r>
    </w:p>
  </w:footnote>
  <w:footnote w:id="16">
    <w:p>
      <w:pPr>
        <w:pStyle w:val="FootnoteText"/>
      </w:pPr>
      <w:r>
        <w:rPr>
          <w:rStyle w:val="FootnoteReference"/>
        </w:rPr>
        <w:footnoteRef/>
      </w:r>
      <w:r>
        <w:t xml:space="preserve"> Coffin D., Crotty P., Walling J., Yuan W. J. J. The Impact of Changes in Trade Policies on the Electric Vehicle (EV) Sector – A CGE Analysis // USITC Economics Working Paper 2024–05–A. Раздел методологии, с. 7–9.</w:t>
      </w:r>
    </w:p>
  </w:footnote>
  <w:footnote w:id="17">
    <w:p>
      <w:pPr>
        <w:pStyle w:val="FootnoteText"/>
      </w:pPr>
      <w:r>
        <w:rPr>
          <w:rStyle w:val="FootnoteReference"/>
        </w:rPr>
        <w:footnoteRef/>
      </w:r>
      <w:r>
        <w:t xml:space="preserve"> Wingender P., Yao J., Zymek R. et al. Europe’s Shift to EVs Amid Intensifying Global Competition // IMF Working Paper 24/218. 2024. Разделы 3.1–3.2, с. 12–16.</w:t>
      </w:r>
    </w:p>
  </w:footnote>
  <w:footnote w:id="18">
    <w:p>
      <w:pPr>
        <w:pStyle w:val="FootnoteText"/>
      </w:pPr>
      <w:r>
        <w:rPr>
          <w:rStyle w:val="FootnoteReference"/>
        </w:rPr>
        <w:footnoteRef/>
      </w:r>
      <w:r>
        <w:t xml:space="preserve"> Barwick P. J. et al. From Trade War to Green Transition. NBER WP 35334. 2026. Раздел 2.</w:t>
      </w:r>
    </w:p>
  </w:footnote>
  <w:footnote w:id="19">
    <w:p>
      <w:pPr>
        <w:pStyle w:val="FootnoteText"/>
      </w:pPr>
      <w:r>
        <w:rPr>
          <w:rStyle w:val="FootnoteReference"/>
        </w:rPr>
        <w:footnoteRef/>
      </w:r>
      <w:r>
        <w:t xml:space="preserve"> Minondo A. How exporters neutralised an increase in tariffs // The World Economy 47(3), 1274–1296. 2024. DOI 10.1111/twec.13492. С. 1275–1277, 1292–1293.</w:t>
      </w:r>
    </w:p>
  </w:footnote>
  <w:footnote w:id="20">
    <w:p>
      <w:pPr>
        <w:pStyle w:val="FootnoteText"/>
      </w:pPr>
      <w:r>
        <w:rPr>
          <w:rStyle w:val="FootnoteReference"/>
        </w:rPr>
        <w:footnoteRef/>
      </w:r>
      <w:r>
        <w:t xml:space="preserve"> Feenstra R. C., Romalis J. International Prices and Endogenous Quality. NBER Working Paper 18314. 2012. Аннотация и введение.</w:t>
      </w:r>
    </w:p>
  </w:footnote>
  <w:footnote w:id="21">
    <w:p>
      <w:pPr>
        <w:pStyle w:val="FootnoteText"/>
      </w:pPr>
      <w:r>
        <w:rPr>
          <w:rStyle w:val="FootnoteReference"/>
        </w:rPr>
        <w:footnoteRef/>
      </w:r>
      <w:r>
        <w:t xml:space="preserve"> Fajgelbaum P., Goldberg P., Kennedy P. et al. The US-China Trade War and Global Reallocations. NBER Working Paper 29562. Revised December 2023. Введение.</w:t>
      </w:r>
    </w:p>
  </w:footnote>
  <w:footnote w:id="22">
    <w:p>
      <w:pPr>
        <w:pStyle w:val="FootnoteText"/>
      </w:pPr>
      <w:r>
        <w:rPr>
          <w:rStyle w:val="FootnoteReference"/>
        </w:rPr>
        <w:footnoteRef/>
      </w:r>
      <w:r>
        <w:t xml:space="preserve"> Balteanu I., Moreno M., Viani F. Flooded by China? Trade diversion due to US tariffs during Trump’s first mandate // Banco de España Working Paper 2634, October 2026. DOI 10.53479/44545. Аннотация.</w:t>
      </w:r>
    </w:p>
  </w:footnote>
  <w:footnote w:id="23">
    <w:p>
      <w:pPr>
        <w:pStyle w:val="FootnoteText"/>
      </w:pPr>
      <w:r>
        <w:rPr>
          <w:rStyle w:val="FootnoteReference"/>
        </w:rPr>
        <w:footnoteRef/>
      </w:r>
      <w:r>
        <w:t xml:space="preserve"> Shorrocks A. F. Decomposition Procedures for Distributional Analysis: A Unified Framework Based on the Shapley Value. First draft, June 1999. Раздел 2, с. 4–7.</w:t>
      </w:r>
    </w:p>
  </w:footnote>
  <w:footnote w:id="24">
    <w:p>
      <w:pPr>
        <w:pStyle w:val="FootnoteText"/>
      </w:pPr>
      <w:r>
        <w:rPr>
          <w:rStyle w:val="FootnoteReference"/>
        </w:rPr>
        <w:footnoteRef/>
      </w:r>
      <w:r>
        <w:t xml:space="preserve"> Cavallo A. et al. Tariff Pass-Through at the Border and at the Store. NBER WP 26396. 2019. С. 3–4.</w:t>
      </w:r>
    </w:p>
  </w:footnote>
  <w:footnote w:id="25">
    <w:p>
      <w:pPr>
        <w:pStyle w:val="FootnoteText"/>
      </w:pPr>
      <w:r>
        <w:rPr>
          <w:rStyle w:val="FootnoteReference"/>
        </w:rPr>
        <w:footnoteRef/>
      </w:r>
      <w:r>
        <w:t xml:space="preserve"> Head K., Mayer T. Brands in Motion. Banque de France WP 629. 2017. Раздел 3. Melitz M. J. The Impact of Trade on Intra-Industry Reallocations and Aggregate Industry Productivity // Econometrica 71(6),1695–1725. 2003. DOI 10.1111/1468-0262.00467. С. 1695–1698.</w:t>
      </w:r>
    </w:p>
  </w:footnote>
  <w:footnote w:id="26">
    <w:p>
      <w:pPr>
        <w:pStyle w:val="FootnoteText"/>
      </w:pPr>
      <w:r>
        <w:rPr>
          <w:rStyle w:val="FootnoteReference"/>
        </w:rPr>
        <w:footnoteRef/>
      </w:r>
      <w:r>
        <w:t xml:space="preserve"> Head K., Mayer T. Brands in Motion. Banque de France WP 629. 2017. Раздел 3. Barwick P. J. et al. From Trade War to Green Transition. NBER WP 35334. 2026. Разделы 4.1–4.2.</w:t>
      </w:r>
    </w:p>
  </w:footnote>
  <w:footnote w:id="27">
    <w:p>
      <w:pPr>
        <w:pStyle w:val="FootnoteText"/>
      </w:pPr>
      <w:r>
        <w:rPr>
          <w:rStyle w:val="FootnoteReference"/>
        </w:rPr>
        <w:footnoteRef/>
      </w:r>
      <w:r>
        <w:t xml:space="preserve"> Dou H. et al. Distributional impacts of EU tariffs on Chinese electric vehicles across European markets. 2026. Принятая авторская версия, с. 5–9, 18–19. Barwick P. J. et al. From Trade War to Green Transition. NBER WP 35334. 2026. Разделы 2 и 4.</w:t>
      </w:r>
    </w:p>
  </w:footnote>
  <w:footnote w:id="28">
    <w:p>
      <w:pPr>
        <w:pStyle w:val="FootnoteText"/>
      </w:pPr>
      <w:r>
        <w:rPr>
          <w:rStyle w:val="FootnoteReference"/>
        </w:rPr>
        <w:footnoteRef/>
      </w:r>
      <w:r>
        <w:t xml:space="preserve"> Wingender P. et al. Europe’s Shift to EVs Amid Intensifying Global Competition. IMF WP 24/218. 2024. С. 12–16. Coffin D. et al. The Impact of Changes in Trade Policies on the Electric Vehicle Sector. USITC 2024–05–A. С. 7–9.</w:t>
      </w:r>
    </w:p>
  </w:footnote>
  <w:footnote w:id="29">
    <w:p>
      <w:pPr>
        <w:pStyle w:val="FootnoteText"/>
      </w:pPr>
      <w:r>
        <w:rPr>
          <w:rStyle w:val="FootnoteReference"/>
        </w:rPr>
        <w:footnoteRef/>
      </w:r>
      <w:r>
        <w:t xml:space="preserve"> Minondo A. How exporters neutralised an increase in tariffs. 2024. С. 1275–1277. Fajgelbaum P. et al. The US-China Trade War and Global Reallocations. NBER WP 29562. Редакция декабря 2023.</w:t>
      </w:r>
    </w:p>
  </w:footnote>
  <w:footnote w:id="30">
    <w:p>
      <w:pPr>
        <w:pStyle w:val="FootnoteText"/>
      </w:pPr>
      <w:r>
        <w:rPr>
          <w:rStyle w:val="FootnoteReference"/>
        </w:rPr>
        <w:footnoteRef/>
      </w:r>
      <w:r>
        <w:t xml:space="preserve"> Ke Y. EU Countervailing Duties and Chinese BEV Trade Flows: Descriptive Evidence from a Difference-in-Differences Analysis // Bachelor thesis, Umeå University. 2026. Аннотация; обсуждение ограничений. Бакалаврская работа.</w:t>
      </w:r>
    </w:p>
  </w:footnote>
  <w:footnote w:id="31">
    <w:p>
      <w:pPr>
        <w:pStyle w:val="FootnoteText"/>
      </w:pPr>
      <w:r>
        <w:rPr>
          <w:rStyle w:val="FootnoteReference"/>
        </w:rPr>
        <w:footnoteRef/>
      </w:r>
      <w:r>
        <w:t xml:space="preserve"> Barwick P. J. et al. From Trade War to Green Transition. NBER WP 35334. 2026. Раздел 6.2 и приложение D.1.</w:t>
      </w:r>
    </w:p>
  </w:footnote>
  <w:footnote w:id="32">
    <w:p>
      <w:pPr>
        <w:pStyle w:val="FootnoteText"/>
      </w:pPr>
      <w:r>
        <w:rPr>
          <w:rStyle w:val="FootnoteReference"/>
        </w:rPr>
        <w:footnoteRef/>
      </w:r>
      <w:r>
        <w:t xml:space="preserve"> Dou H., Hao H., Mai L. et al. Observed constrained expansion and diminished affordability under the EU’s tariffs on Chinese electric vehicles // Joule 10(6),102486. 2026. DOI 10.1016/j.joule.2026.102486. Основной полный текст не получен. Проверены издательские метаданные и карточка University of Groningen (дата обращения: 27.10.2026).</w:t>
      </w:r>
    </w:p>
  </w:footnote>
  <w:footnote w:id="33">
    <w:p>
      <w:pPr>
        <w:pStyle w:val="FootnoteText"/>
      </w:pPr>
      <w:r>
        <w:rPr>
          <w:rStyle w:val="FootnoteReference"/>
        </w:rPr>
        <w:footnoteRef/>
      </w:r>
      <w:r>
        <w:t xml:space="preserve"> Shorrocks A. F. Decomposition Procedures for Distributional Analysis. First draft, 1999. Раздел 2.</w:t>
      </w:r>
    </w:p>
  </w:footnote>
  <w:footnote w:id="34">
    <w:p>
      <w:pPr>
        <w:pStyle w:val="FootnoteText"/>
      </w:pPr>
      <w:r>
        <w:rPr>
          <w:rStyle w:val="FootnoteReference"/>
        </w:rPr>
        <w:footnoteRef/>
      </w:r>
      <w:r>
        <w:t xml:space="preserve"> Santos Silva J. M. C., Tenreyro S. The Log of Gravity // Review of Economics and Statistics 88(4),641–658. 2006. DOI 10.1162/rest.88.4.641.</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val="0"/>
      <w:pageBreakBefore w:val="0"/>
      <w:widowControl/>
      <w:spacing w:line="360" w:lineRule="auto" w:before="0" w:after="0"/>
      <w:ind w:firstLine="709" w:left="0" w:right="0"/>
      <w:jc w:val="both"/>
    </w:pPr>
    <w:rPr>
      <w:rFonts w:ascii="Times New Roman" w:hAnsi="Times New Roman" w:eastAsia="Times New Roman" w:cs="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val="0"/>
      <w:keepLines w:val="0"/>
      <w:pageBreakBefore w:val="0"/>
      <w:widowControl/>
      <w:spacing w:after="240" w:line="360" w:lineRule="auto" w:before="0"/>
      <w:ind w:firstLine="0" w:left="0" w:right="0"/>
      <w:contextualSpacing/>
      <w:jc w:val="center"/>
    </w:pPr>
    <w:rPr>
      <w:rFonts w:cstheme="majorBidi" w:ascii="Times New Roman" w:hAnsi="Times New Roman" w:eastAsia="Times New Roman" w:cs="Times New Roman"/>
      <w:b/>
      <w:i w:val="0"/>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Chapter">
    <w:name w:val="Thesis Chapter"/>
    <w:basedOn w:val="Normal"/>
    <w:pPr>
      <w:keepNext/>
      <w:keepLines/>
      <w:pageBreakBefore/>
      <w:widowControl/>
      <w:spacing w:line="360" w:lineRule="auto" w:before="0" w:after="240"/>
      <w:ind w:firstLine="0" w:left="0" w:right="0"/>
      <w:jc w:val="left"/>
      <w:outlineLvl w:val="0"/>
    </w:pPr>
    <w:rPr>
      <w:rFonts w:ascii="Times New Roman" w:hAnsi="Times New Roman" w:eastAsia="Times New Roman" w:cs="Times New Roman"/>
      <w:b/>
      <w:i w:val="0"/>
      <w:color w:val="000000"/>
      <w:sz w:val="28"/>
    </w:rPr>
  </w:style>
  <w:style w:type="paragraph" w:customStyle="1" w:styleId="ThesisSection">
    <w:name w:val="Thesis Section"/>
    <w:basedOn w:val="Normal"/>
    <w:pPr>
      <w:keepNext/>
      <w:keepLines/>
      <w:pageBreakBefore w:val="0"/>
      <w:widowControl/>
      <w:spacing w:line="360" w:lineRule="auto" w:before="280" w:after="160"/>
      <w:ind w:firstLine="0" w:left="0" w:right="0"/>
      <w:jc w:val="left"/>
      <w:outlineLvl w:val="1"/>
    </w:pPr>
    <w:rPr>
      <w:rFonts w:ascii="Times New Roman" w:hAnsi="Times New Roman" w:eastAsia="Times New Roman" w:cs="Times New Roman"/>
      <w:b/>
      <w:i w:val="0"/>
      <w:color w:val="000000"/>
      <w:sz w:val="24"/>
    </w:rPr>
  </w:style>
  <w:style w:type="paragraph" w:customStyle="1" w:styleId="ThesisFigure">
    <w:name w:val="Thesis Figure"/>
    <w:basedOn w:val="Normal"/>
    <w:pPr>
      <w:keepNext w:val="0"/>
      <w:keepLines w:val="0"/>
      <w:pageBreakBefore w:val="0"/>
      <w:widowControl/>
      <w:spacing w:line="276" w:lineRule="auto" w:before="60" w:after="60"/>
      <w:ind w:firstLine="0" w:left="0" w:right="0"/>
      <w:jc w:val="center"/>
    </w:pPr>
    <w:rPr>
      <w:rFonts w:ascii="Times New Roman" w:hAnsi="Times New Roman" w:eastAsia="Times New Roman" w:cs="Times New Roman"/>
      <w:b/>
      <w:i w:val="0"/>
      <w:color w:val="000000"/>
      <w:sz w:val="24"/>
    </w:rPr>
  </w:style>
  <w:style w:type="paragraph" w:customStyle="1" w:styleId="ThesisSource">
    <w:name w:val="Thesis Source"/>
    <w:basedOn w:val="Normal"/>
    <w:pPr>
      <w:keepNext w:val="0"/>
      <w:keepLines w:val="0"/>
      <w:pageBreakBefore w:val="0"/>
      <w:widowControl/>
      <w:spacing w:line="276" w:lineRule="auto" w:before="60" w:after="160"/>
      <w:ind w:firstLine="0" w:left="0" w:right="0"/>
      <w:jc w:val="center"/>
    </w:pPr>
    <w:rPr>
      <w:rFonts w:ascii="Times New Roman" w:hAnsi="Times New Roman" w:eastAsia="Times New Roman" w:cs="Times New Roman"/>
      <w:b w:val="0"/>
      <w:i/>
      <w:color w:val="000000"/>
      <w:sz w:val="20"/>
    </w:rPr>
  </w:style>
  <w:style w:type="paragraph" w:customStyle="1" w:styleId="ThesisTableNumber">
    <w:name w:val="Thesis Table Number"/>
    <w:basedOn w:val="Normal"/>
    <w:pPr>
      <w:keepNext w:val="0"/>
      <w:keepLines w:val="0"/>
      <w:pageBreakBefore w:val="0"/>
      <w:widowControl/>
      <w:spacing w:line="276" w:lineRule="auto" w:before="160" w:after="40"/>
      <w:ind w:firstLine="0" w:left="0" w:right="0"/>
      <w:jc w:val="right"/>
    </w:pPr>
    <w:rPr>
      <w:rFonts w:ascii="Times New Roman" w:hAnsi="Times New Roman" w:eastAsia="Times New Roman" w:cs="Times New Roman"/>
      <w:b w:val="0"/>
      <w:i w:val="0"/>
      <w:color w:val="000000"/>
      <w:sz w:val="20"/>
    </w:rPr>
  </w:style>
  <w:style w:type="paragraph" w:customStyle="1" w:styleId="ThesisTableTitle">
    <w:name w:val="Thesis Table Title"/>
    <w:basedOn w:val="Normal"/>
    <w:pPr>
      <w:keepNext w:val="0"/>
      <w:keepLines w:val="0"/>
      <w:pageBreakBefore w:val="0"/>
      <w:widowControl/>
      <w:spacing w:line="276" w:lineRule="auto" w:before="0" w:after="100"/>
      <w:ind w:firstLine="0" w:left="0" w:right="0"/>
      <w:jc w:val="center"/>
    </w:pPr>
    <w:rPr>
      <w:rFonts w:ascii="Times New Roman" w:hAnsi="Times New Roman" w:eastAsia="Times New Roman" w:cs="Times New Roman"/>
      <w:b w:val="0"/>
      <w:i w:val="0"/>
      <w:color w:val="000000"/>
      <w:sz w:val="20"/>
    </w:rPr>
  </w:style>
  <w:style w:type="paragraph" w:customStyle="1" w:styleId="FootnoteText">
    <w:name w:val="Footnote Text"/>
    <w:basedOn w:val="Normal"/>
    <w:pPr>
      <w:keepNext w:val="0"/>
      <w:keepLines w:val="0"/>
      <w:pageBreakBefore w:val="0"/>
      <w:widowControl/>
      <w:spacing w:line="240" w:lineRule="auto" w:before="0" w:after="0"/>
      <w:ind w:firstLine="0" w:left="0" w:right="0"/>
      <w:jc w:val="both"/>
    </w:pPr>
    <w:rPr>
      <w:rFonts w:ascii="Times New Roman" w:hAnsi="Times New Roman" w:eastAsia="Times New Roman" w:cs="Times New Roman"/>
      <w:b w:val="0"/>
      <w:i w:val="0"/>
      <w:color w:val="000000"/>
      <w:sz w:val="20"/>
    </w:rPr>
  </w:style>
  <w:style w:type="character" w:customStyle="1" w:styleId="FootnoteReference">
    <w:name w:val="Footnote Reference"/>
    <w:rPr>
      <w:rFonts w:ascii="Times New Roman" w:hAnsi="Times New Roman" w:eastAsia="Times New Roman" w:cs="Times New Roman"/>
      <w:b w:val="0"/>
      <w:i w:val="0"/>
      <w:color w:val="000000"/>
      <w:sz w:val="20"/>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Теоретические основы товарной и географической адаптации автомобильной торговли</dc:title>
  <dc:subject>Подготовка к написанию диплома по проверенным данным 2021–2025</dc:subject>
  <dc:creator>Автор исследования</dc:creator>
  <cp:keywords>Comext, Китай, ЕС, BEV, PHEV, HEV</cp:keywords>
  <dc:description>generated by python-docx</dc:description>
  <cp:lastModifiedBy/>
  <cp:revision>1</cp:revision>
  <dcterms:created xsi:type="dcterms:W3CDTF">2013-12-23T23:15:00Z</dcterms:created>
  <dcterms:modified xsi:type="dcterms:W3CDTF">2013-12-23T23:15:00Z</dcterms:modified>
  <cp:category/>
</cp:coreProperties>
</file>