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Основа дипломного исследования</w:t>
      </w:r>
    </w:p>
    <w:p>
      <w:pPr>
        <w:spacing w:after="200"/>
        <w:ind w:firstLine="0"/>
        <w:jc w:val="center"/>
      </w:pPr>
      <w:r>
        <w:t>Автомобильная торговля Китая и ЕС</w:t>
        <w:br/>
        <w:t>26 октября 2026 года</w:t>
      </w:r>
    </w:p>
    <w:p>
      <w:r>
        <w:t>Исследовательская база подготовлена для начала написания диплома. Документ фиксирует тему, цель, задачи, аналитические положения, структуру и правила работы с доказательствами. Данные и модели рассчитаны; тексты трёх глав, окончательные иллюстрации и единый диплом составляют следующий этап.</w:t>
      </w:r>
    </w:p>
    <w:p>
      <w:pPr>
        <w:pStyle w:val="ThesisSection"/>
      </w:pPr>
      <w:r>
        <w:t>Тема и исследовательская постановка</w:t>
      </w:r>
    </w:p>
    <w:p>
      <w:r>
        <w:rPr>
          <w:b/>
        </w:rPr>
        <w:t xml:space="preserve">Тема: </w:t>
      </w:r>
      <w:r>
        <w:t>Географическая концентрация и товарная адаптация поставок новых электромобилей и бензиновых гибридов из Китая в ЕС.</w:t>
      </w:r>
    </w:p>
    <w:p>
      <w:r>
        <w:t>Изменение совокупного потока автомобилей может скрывать разнонаправленную динамику технологий, различия количества и стоимости и перераспределение между странами оформления. Даже снижение общего индекса концентрации не позволяет без разложения установить, какая часть изменения связана с товарной корзиной, а какая — с географией внутри технологий. Аналогично появление новых положительных стран ввоза не означает, что именно они обеспечили основную часть прироста.</w:t>
      </w:r>
    </w:p>
    <w:p>
      <w:r>
        <w:t>Центральный вопрос: за счёт каких наблюдаемых компонентов меняются товарная структура и географическая концентрация китайских поставок в ЕС и насколько выводы различаются при измерении количества и стоимости?</w:t>
      </w:r>
    </w:p>
    <w:p>
      <w:r>
        <w:t>Дополнительный вопрос: сохраняются ли условные сдвиги относительных потоков гибридов в разные фазы торговых мер при учёте трендов, специфической сезонности, широкого набора остальных внешних поставщиков и географической неоднородности?</w:t>
      </w:r>
    </w:p>
    <w:p>
      <w:r>
        <w:t>Объект исследования — международная торговля новыми легковыми электромобилями и бензиновыми гибридами китайского происхождения в направлении ЕС.</w:t>
      </w:r>
    </w:p>
    <w:p>
      <w:r>
        <w:t>Предмет исследования — изменение товарной, стоимостной и географической структуры ввоза, соотношение вкладов состава корзины и распределения стран внутри технологий, роль продолжающих и новых положительных направлений и условные модельные ассоциации торговых фаз с относительными потоками.</w:t>
      </w:r>
    </w:p>
    <w:p>
      <w:r>
        <w:t>Цель исследования — выявить и количественно разграничить компоненты товарной и географической адаптации китайских поставок в ЕС в 2021–2025 годах и на этой основе разработать рекомендации по совместному мониторингу количества, стоимости и концентрации таможенного оформления.</w:t>
      </w:r>
    </w:p>
    <w:p>
      <w:r>
        <w:rPr>
          <w:b/>
        </w:rPr>
        <w:t xml:space="preserve">Границы исследования: </w:t>
      </w:r>
      <w:r>
        <w:t>Январь 2021 — декабрь 2025 года; 27 стран ЕС; три кода новых легковых автомобилей китайского происхождения: BEV, бензиновые PHEV и бензиновые HEV. Национальность марки и страна конечных продаж отдельно не наблюдаются. Изменения политики 2026 года относятся к последующему контексту.</w:t>
      </w:r>
    </w:p>
    <w:p>
      <w:pPr>
        <w:pStyle w:val="ThesisSection"/>
      </w:pPr>
      <w:r>
        <w:t>Задачи и методы</w:t>
      </w:r>
    </w:p>
    <w:p>
      <w:r>
        <w:rPr>
          <w:b w:val="0"/>
        </w:rPr>
        <w:t xml:space="preserve">1. Систематизировать экономические механизмы адаптации автомобильной торговли и разграничить происхождение, бренд, таможенное оформление и конечные продажи. </w:t>
      </w:r>
      <w:r>
        <w:rPr>
          <w:i/>
        </w:rPr>
        <w:t xml:space="preserve">Параграфы 1.1–1.3. </w:t>
      </w:r>
      <w:r>
        <w:t>Результат: Понятийная основа, технологические границы и система наблюдаемых каналов.</w:t>
      </w:r>
    </w:p>
    <w:p>
      <w:r>
        <w:rPr>
          <w:b w:val="0"/>
        </w:rPr>
        <w:t xml:space="preserve">2. Сопоставить ближайшие исследования и определить собственный эмпирический вклад. </w:t>
      </w:r>
      <w:r>
        <w:rPr>
          <w:i/>
        </w:rPr>
        <w:t xml:space="preserve">Параграфы 1.4. </w:t>
      </w:r>
      <w:r>
        <w:t>Результат: Сравнение единиц анализа, технологий, методов и выводов; корректная формулировка вклада.</w:t>
      </w:r>
    </w:p>
    <w:p>
      <w:r>
        <w:rPr>
          <w:b w:val="0"/>
        </w:rPr>
        <w:t xml:space="preserve">3. Сформировать и проверить сопоставимую месячную панель. </w:t>
      </w:r>
      <w:r>
        <w:rPr>
          <w:i/>
        </w:rPr>
        <w:t xml:space="preserve">Параграфы 2.1. </w:t>
      </w:r>
      <w:r>
        <w:t>Результат: Охват CN8, происхождений и стран; точное сложение агрегатов; открытый учёт восстановленных нулей.</w:t>
      </w:r>
    </w:p>
    <w:p>
      <w:r>
        <w:rPr>
          <w:b w:val="0"/>
        </w:rPr>
        <w:t xml:space="preserve">4. Оценить различия количества, стоимости и товарного состава, разложить изменения долей и стоимости. </w:t>
      </w:r>
      <w:r>
        <w:rPr>
          <w:i/>
        </w:rPr>
        <w:t xml:space="preserve">Параграфы 2.2–2.3. </w:t>
      </w:r>
      <w:r>
        <w:t>Результат: Годовые и месячные показатели; точные структурные тождества.</w:t>
      </w:r>
    </w:p>
    <w:p>
      <w:r>
        <w:rPr>
          <w:b w:val="0"/>
        </w:rPr>
        <w:t xml:space="preserve">5. Разграничить изменение товарных весов, географии внутри технологий и продолжающих/новых направлений. </w:t>
      </w:r>
      <w:r>
        <w:rPr>
          <w:i/>
        </w:rPr>
        <w:t xml:space="preserve">Параграфы 2.2; 2.4. </w:t>
      </w:r>
      <w:r>
        <w:t>Результат: Разложения HHI с взаимодействием факторов и страновых компонентов прироста.</w:t>
      </w:r>
    </w:p>
    <w:p>
      <w:r>
        <w:rPr>
          <w:b w:val="0"/>
        </w:rPr>
        <w:t xml:space="preserve">6. Оценить и проверить условную модель относительных потоков с учётом фаз, трендов, сезонности и географической неоднородности. </w:t>
      </w:r>
      <w:r>
        <w:rPr>
          <w:i/>
        </w:rPr>
        <w:t xml:space="preserve">Параграфы 2.5. </w:t>
      </w:r>
      <w:r>
        <w:t>Результат: Предпочтительные оценки, интервалы, заранее зафиксированные варианты чувствительности и диагностика.</w:t>
      </w:r>
    </w:p>
    <w:p>
      <w:r>
        <w:rPr>
          <w:b w:val="0"/>
        </w:rPr>
        <w:t xml:space="preserve">7. Сопоставить наблюдаемые изменения, модельные результаты и внешние исследования. </w:t>
      </w:r>
      <w:r>
        <w:rPr>
          <w:i/>
        </w:rPr>
        <w:t xml:space="preserve">Параграфы 2.6. </w:t>
      </w:r>
      <w:r>
        <w:t>Результат: Содержательный ответ на центральный вопрос и границы доказанности.</w:t>
      </w:r>
    </w:p>
    <w:p>
      <w:r>
        <w:rPr>
          <w:b w:val="0"/>
        </w:rPr>
        <w:t xml:space="preserve">8. Разработать рекомендации по мониторингу и применению показателей. </w:t>
      </w:r>
      <w:r>
        <w:rPr>
          <w:i/>
        </w:rPr>
        <w:t xml:space="preserve">Параграфы 3.1–3.4. </w:t>
      </w:r>
      <w:r>
        <w:t>Результат: Паспорт мониторинга и матрица «рекомендация — адресат — основание — данные — контроль — ограничение».</w:t>
      </w:r>
    </w:p>
    <w:p>
      <w:r>
        <w:rPr>
          <w:b/>
        </w:rPr>
        <w:t xml:space="preserve">Информационная база: </w:t>
      </w:r>
      <w:r>
        <w:t>Eurostat Comext, DS-045409: количество автомобилей и стоимость в евро. Коды 87038010, 87036010, 87034010. Сопоставление происхождений и агрегатов проверено; восстановленные нули отделены от явно опубликованных наблюдений.</w:t>
      </w:r>
      <w:r>
        <w:rPr>
          <w:rStyle w:val="FootnoteReference"/>
        </w:rPr>
        <w:footnoteReference w:id="1"/>
      </w:r>
    </w:p>
    <w:p>
      <w:r>
        <w:rPr>
          <w:b/>
        </w:rPr>
        <w:t xml:space="preserve">Методы: </w:t>
      </w:r>
      <w:r>
        <w:t>Сравнительный анализ литературы, структурные доли, средняя таможенная стоимость единицы, HHI и эффективное число стран, симметричные разложения, усреднение порядков замены по Шепли, разделение продолжающих и новых положительных стран, PPML с постоянными эффектами и эквивалентная взвешенная модель долей. Количество и стоимость оцениваются отдельно; интервалы показаны через HAC и блочные повторные оценки.</w:t>
      </w:r>
      <w:r>
        <w:rPr>
          <w:rStyle w:val="FootnoteReference"/>
        </w:rPr>
        <w:footnoteReference w:id="2"/>
      </w:r>
    </w:p>
    <w:p>
      <w:pPr>
        <w:pStyle w:val="ThesisSection"/>
      </w:pPr>
      <w:r>
        <w:t>Аналитические положения и результаты проверки</w:t>
      </w:r>
    </w:p>
    <w:p>
      <w:r>
        <w:t>Положения сформулированы после анализа данных и используются для организации изложения. Они не являются независимо пререгистрированными прогнозами. Неподтверждённое положение сохраняется в работе.</w:t>
      </w:r>
    </w:p>
    <w:p>
      <w:pPr>
        <w:keepNext/>
      </w:pPr>
      <w:r>
        <w:rPr>
          <w:b/>
        </w:rPr>
        <w:t xml:space="preserve">H1. </w:t>
      </w:r>
      <w:r>
        <w:t>Совокупная деконцентрация неоднородна по технологиям и не объясняется одной заменой товарных весов.</w:t>
      </w:r>
    </w:p>
    <w:p>
      <w:pPr>
        <w:keepNext/>
      </w:pPr>
      <w:r>
        <w:rPr>
          <w:b/>
        </w:rPr>
        <w:t xml:space="preserve">Проверка. </w:t>
      </w:r>
      <w:r>
        <w:t>Сопоставление технологических HHI; четыре стандартизованные корзины; оба порядка замены; 2023/2024→2025.</w:t>
      </w:r>
    </w:p>
    <w:p>
      <w:pPr>
        <w:keepLines/>
      </w:pPr>
      <w:r>
        <w:rPr>
          <w:b/>
        </w:rPr>
        <w:t xml:space="preserve">Статус. </w:t>
      </w:r>
      <w:r>
        <w:t>Поддерживается описательными расчётами: BEV концентрируется, гибриды деконцентрируются; товарные и географические изменения существенно взаимодействуют.</w:t>
      </w:r>
    </w:p>
    <w:p>
      <w:pPr>
        <w:keepNext/>
      </w:pPr>
      <w:r>
        <w:rPr>
          <w:b/>
        </w:rPr>
        <w:t xml:space="preserve">H2. </w:t>
      </w:r>
      <w:r>
        <w:t>Основная часть прироста количества гибридов приходится на продолжающие страны оформления.</w:t>
      </w:r>
    </w:p>
    <w:p>
      <w:pPr>
        <w:keepNext/>
      </w:pPr>
      <w:r>
        <w:rPr>
          <w:b/>
        </w:rPr>
        <w:t xml:space="preserve">Проверка. </w:t>
      </w:r>
      <w:r>
        <w:t>Точное разложение прироста PHEV/HEV между продолжающими, новыми и исчезнувшими положительными странами; большая часть — свыше 50% чистого прироста.</w:t>
      </w:r>
    </w:p>
    <w:p>
      <w:pPr>
        <w:keepLines/>
      </w:pPr>
      <w:r>
        <w:rPr>
          <w:b/>
        </w:rPr>
        <w:t xml:space="preserve">Статус. </w:t>
      </w:r>
      <w:r>
        <w:t>Поддерживается для 2023–2025: новые страны дают около 10,3% прироста PHEV и 8,1% HEV; в HEV учтён отрицательный вклад выхода.</w:t>
      </w:r>
    </w:p>
    <w:p>
      <w:pPr>
        <w:keepNext/>
      </w:pPr>
      <w:r>
        <w:rPr>
          <w:b/>
        </w:rPr>
        <w:t xml:space="preserve">H3. </w:t>
      </w:r>
      <w:r>
        <w:t>Усиление физической доли Китая не сопровождается сопоставимым увеличением стоимостной доли.</w:t>
      </w:r>
    </w:p>
    <w:p>
      <w:pPr>
        <w:keepNext/>
      </w:pPr>
      <w:r>
        <w:rPr>
          <w:b/>
        </w:rPr>
        <w:t xml:space="preserve">Проверка. </w:t>
      </w:r>
      <w:r>
        <w:t>Одновременное сравнение долей в одинаковой товарной корзине и при одинаковом охвате внешних поставщиков; знаменатели соответствуют своим единицам количества и стоимости.</w:t>
      </w:r>
    </w:p>
    <w:p>
      <w:pPr>
        <w:keepLines/>
      </w:pPr>
      <w:r>
        <w:rPr>
          <w:b/>
        </w:rPr>
        <w:t xml:space="preserve">Статус. </w:t>
      </w:r>
      <w:r>
        <w:t>Поддерживается для 2023–2025: +7,60 п. п. по количеству и +0,19 п. п. по стоимости; причинный ценовой механизм не установлен.</w:t>
      </w:r>
    </w:p>
    <w:p>
      <w:pPr>
        <w:keepNext/>
      </w:pPr>
      <w:r>
        <w:rPr>
          <w:b/>
        </w:rPr>
        <w:t xml:space="preserve">H4. </w:t>
      </w:r>
      <w:r>
        <w:t>Дополнительный положительный сдвиг PHEV/BEV в окончательной фазе сохраняется сверх включённых трендов и сезонности.</w:t>
      </w:r>
    </w:p>
    <w:p>
      <w:pPr>
        <w:keepNext/>
      </w:pPr>
      <w:r>
        <w:rPr>
          <w:b/>
        </w:rPr>
        <w:t xml:space="preserve">Проверка. </w:t>
      </w:r>
      <w:r>
        <w:t>Предпочтительная модель; множитель выше 1 и интервалы HAC(12)/блочного пересчёта целиком выше 1.</w:t>
      </w:r>
    </w:p>
    <w:p>
      <w:pPr>
        <w:keepLines/>
      </w:pPr>
      <w:r>
        <w:rPr>
          <w:b/>
        </w:rPr>
        <w:t xml:space="preserve">Статус. </w:t>
      </w:r>
      <w:r>
        <w:t>Не получает уверенного подтверждения: 1,510; HAC [0,748; 3,050], блочный [0,705; 4,393]. Это не доказательство отсутствия реакции.</w:t>
      </w:r>
    </w:p>
    <w:p>
      <w:r>
        <w:t>Предпочтительная условная оценка количества HEV в окончательной фазе также велика: множитель 29,788; HAC(12) [6,729; 131,874], блочный интервал [6,938; 249,773]. Ширина интервалов и чувствительность к спецификации обязательны для интерпретации. Эти множители не являются оценкой причинного эффекта пошлины.</w:t>
      </w:r>
    </w:p>
    <w:p>
      <w:pPr>
        <w:pStyle w:val="ThesisSection"/>
      </w:pPr>
      <w:r>
        <w:t>Собственный вклад и практическое применение</w:t>
      </w:r>
    </w:p>
    <w:p>
      <w:r>
        <w:t>Для единой проверенной месячной панели совместно измерены физическое и стоимостное изменения китайских поставок трёх технологий, их распределение по странам оформления и вклад продолжающих и новых положительных направлений. Показано, что общий спад концентрации скрывает противоположные технологические изменения, а влияние товарной корзины зависит от фиксируемой географии. Отдельно раскрыта зависимость условных фазовых оценок от сравнения, трендов и сезонности.</w:t>
      </w:r>
    </w:p>
    <w:p>
      <w:r>
        <w:t>Это собственные эмпирические результаты конкретного случая с воспроизводимыми расчётами. Идея переключения между товарами, PPML, HHI, структурные разложения и преобразование Poisson–logit являются известными подходами и атрибутируются литературе. Добавление периода, PHEV или нескольких стран само по себе научной новизной не объявляется. Сопоставление с Ke, NBER 35334, Dou Nature Energy и Joule сохраняется; по Joule доступен неполный набор материалов, поэтому утверждение мирового первенства исключено.</w:t>
      </w:r>
    </w:p>
    <w:p>
      <w:r>
        <w:t>Результаты позволяют сформировать систему мониторинга, которая сопоставляет технологии, количество, стоимость и концентрацию оформления и помогает обнаружить расхождения между агрегированным показателем и внутренней структурой потока. Для статистических аналитиков результатом служат определения и правила контроля. Для импортёров — перечень дополнительных операционных данных, нужных для перехода от статистической концентрации к решениям о реальных маршрутах. Для обсуждения политики — измеренные ограничения однопоказательной оценки адаптации.</w:t>
      </w:r>
    </w:p>
    <w:p>
      <w:r>
        <w:t>В теоретической главе требуется различать пограничную оценку стоимости и розничную цену. Для этого дополнительно получены и целевым образом прочитаны открытые полные тексты Amiti, Redding, Weinstein (2019) и NBER-версия Cavallo с соавторами (2019); журнальная публикация второй работы датирована 2021 годом. Глубина чтения каждой версии записана отдельно.</w:t>
      </w:r>
      <w:r>
        <w:rPr>
          <w:rStyle w:val="FootnoteReference"/>
        </w:rPr>
        <w:footnoteReference w:id="3"/>
      </w:r>
    </w:p>
    <w:p>
      <w:pPr>
        <w:pStyle w:val="ThesisSection"/>
      </w:pPr>
      <w:r>
        <w:t>Структура диплома</w:t>
      </w:r>
    </w:p>
    <w:p>
      <w:r>
        <w:t>Сохраняется согласованная последовательность: первая глава теоретическая, вторая аналитическая, третья рекомендательная. План включает 14 параграфов. Рабочий ориентир — около 60–70 страниц основного текста; это распределение объёма для написания, а не утверждение о нормативе кафедры.</w:t>
      </w:r>
    </w:p>
    <w:p>
      <w:pPr>
        <w:pStyle w:val="ThesisSection"/>
      </w:pPr>
      <w:r>
        <w:t>Глава 1 Теоретические основы товарной и географической адаптации автомобильной торговли</w:t>
      </w:r>
    </w:p>
    <w:p>
      <w:r>
        <w:rPr>
          <w:b/>
        </w:rPr>
        <w:t xml:space="preserve">1.1 Международная организация автомобильного производства и особенности электрифицированных технологий. </w:t>
      </w:r>
      <w:r>
        <w:t>Разграничить производственное происхождение, марку, место оформления и конечный спрос; определить технологии и единицу анализа.</w:t>
      </w:r>
    </w:p>
    <w:p>
      <w:r>
        <w:rPr>
          <w:b/>
        </w:rPr>
        <w:t xml:space="preserve">1.2 Торговые барьеры и промышленная политика в условиях технологического перехода. </w:t>
      </w:r>
      <w:r>
        <w:t>Раскрыть каналы торговых барьеров и промышленной политики и условия изменения количества, цен и состава поставок.</w:t>
      </w:r>
    </w:p>
    <w:p>
      <w:r>
        <w:rPr>
          <w:b/>
        </w:rPr>
        <w:t xml:space="preserve">1.3 Механизмы адаптации экспортных поставок к торговым ограничениям. </w:t>
      </w:r>
      <w:r>
        <w:t>Сопоставить товарное переключение, изменение качества, географии и интенсивности существующих направлений с доступными показателями.</w:t>
      </w:r>
    </w:p>
    <w:p>
      <w:r>
        <w:rPr>
          <w:b/>
        </w:rPr>
        <w:t xml:space="preserve">1.4 Современные исследования и постановка собственного вопроса. </w:t>
      </w:r>
      <w:r>
        <w:t>Прямо сравнить ближайшие работы, сформулировать собственный вопрос и пределы претензии на новизну.</w:t>
      </w:r>
    </w:p>
    <w:p>
      <w:pPr>
        <w:pStyle w:val="ThesisSection"/>
      </w:pPr>
      <w:r>
        <w:t>Глава 2 Анализ товарной и географической перестройки китайских поставок в ЕС</w:t>
      </w:r>
    </w:p>
    <w:p>
      <w:r>
        <w:rPr>
          <w:b/>
        </w:rPr>
        <w:t xml:space="preserve">2.1 Торговый контекст и формирование сопоставимой информационной базы. </w:t>
      </w:r>
      <w:r>
        <w:t>Дать официальную хронологию и объяснить коды, период, наблюдаемость, нули и состав модельной выборки.</w:t>
      </w:r>
    </w:p>
    <w:p>
      <w:r>
        <w:rPr>
          <w:b/>
        </w:rPr>
        <w:t xml:space="preserve">2.2 Методика измерения структуры и модель условных относительных потоков. </w:t>
      </w:r>
      <w:r>
        <w:t>Определить показатели и разложения, затем раскрыть экономический смысл модели, контролей и интервалов.</w:t>
      </w:r>
    </w:p>
    <w:p>
      <w:r>
        <w:rPr>
          <w:b/>
        </w:rPr>
        <w:t xml:space="preserve">2.3 Количество, стоимость и товарный состав китайских поставок. </w:t>
      </w:r>
      <w:r>
        <w:t>Исследовать количество, стоимость и товарный состав на одних и тех же границах статистической корзины.</w:t>
      </w:r>
    </w:p>
    <w:p>
      <w:r>
        <w:rPr>
          <w:b/>
        </w:rPr>
        <w:t xml:space="preserve">2.4 География оформления, концентрация и продолжающие направления. </w:t>
      </w:r>
      <w:r>
        <w:t>Объяснить концентрацию через технологии, товарные веса, внутритехнологическую географию и продолжающие либо новые страны.</w:t>
      </w:r>
    </w:p>
    <w:p>
      <w:r>
        <w:rPr>
          <w:b/>
        </w:rPr>
        <w:t xml:space="preserve">2.5 Результаты модели, географическая неоднородность и устойчивость. </w:t>
      </w:r>
      <w:r>
        <w:t>Показать предпочтительные оценки, предшествующую динамику, географические контрасты и фиксированные чувствительности.</w:t>
      </w:r>
    </w:p>
    <w:p>
      <w:r>
        <w:rPr>
          <w:b/>
        </w:rPr>
        <w:t xml:space="preserve">2.6 Обсуждение результатов и границы интерпретации. </w:t>
      </w:r>
      <w:r>
        <w:t>Свести наблюдаемые изменения и условные оценки, ответить на исследовательский вопрос и определить основания рекомендаций.</w:t>
      </w:r>
    </w:p>
    <w:p>
      <w:pPr>
        <w:pStyle w:val="ThesisSection"/>
      </w:pPr>
      <w:r>
        <w:t>Глава 3 Рекомендации по мониторингу товарной адаптации и концентрации ввоза</w:t>
      </w:r>
    </w:p>
    <w:p>
      <w:r>
        <w:rPr>
          <w:b/>
        </w:rPr>
        <w:t xml:space="preserve">3.1 Система совместного мониторинга технологий, количества и стоимости. </w:t>
      </w:r>
      <w:r>
        <w:t>Предложить паспорт совместного мониторинга технологий, количества, стоимости и концентрации.</w:t>
      </w:r>
    </w:p>
    <w:p>
      <w:r>
        <w:rPr>
          <w:b/>
        </w:rPr>
        <w:t xml:space="preserve">3.2 Учет концентрации таможенного оформления в управлении торговой экспозицией. </w:t>
      </w:r>
      <w:r>
        <w:t>Разграничить статистическую концентрацию оформления и реальную логистическую зависимость; раскрыть сценарные допущения.</w:t>
      </w:r>
    </w:p>
    <w:p>
      <w:r>
        <w:rPr>
          <w:b/>
        </w:rPr>
        <w:t xml:space="preserve">3.3 Учет межтоварной адаптации при обсуждении торговых и промышленных мер. </w:t>
      </w:r>
      <w:r>
        <w:t>Определить, как учитывать несколько технологий и целей при обсуждении торговых и промышленных мер.</w:t>
      </w:r>
    </w:p>
    <w:p>
      <w:r>
        <w:rPr>
          <w:b/>
        </w:rPr>
        <w:t xml:space="preserve">3.4 Условия реализации и оценка применимости рекомендаций. </w:t>
      </w:r>
      <w:r>
        <w:t>Составить матрицу адресатов, оснований, дополнительных данных, контроля и ограничений рекомендаций.</w:t>
      </w:r>
    </w:p>
    <w:p>
      <w:r>
        <w:rPr>
          <w:b/>
        </w:rPr>
        <w:t xml:space="preserve">Введение и заключение. </w:t>
      </w:r>
      <w:r>
        <w:t>Во введении использовать единый паспорт, а окончательную редакцию выполнить после глав. В заключении ответить на восемь задач без новых результатов и источников.</w:t>
      </w:r>
    </w:p>
    <w:p>
      <w:r>
        <w:rPr>
          <w:b/>
        </w:rPr>
        <w:t xml:space="preserve">Приложения. </w:t>
      </w:r>
      <w:r>
        <w:t>Классификация CN8/TARIC; аудит и запросы; все спецификации и интервалы; численные проверки; формулы разложений; паспорт мониторинга. В основном тексте выделяется предпочтительная расширенная модель.</w:t>
      </w:r>
    </w:p>
    <w:p>
      <w:pPr>
        <w:pStyle w:val="ThesisSection"/>
      </w:pPr>
      <w:r>
        <w:t>Оформление и организация написания</w:t>
      </w:r>
    </w:p>
    <w:p>
      <w:r>
        <w:t>Основа оформления — последняя согласованная версия диплома и курсовая Наумова. Формат A4; Times New Roman 12; полуторный интервал; первая строка 1,25 см; выравнивание по ширине; поля слева 2,5 см, справа 1 см, сверху и снизу 2 см. Заголовки глав 14, параграфов 12, полужирные. Номер страницы справа внизу; титульный лист итогового диплома без видимого номера. Все тексты и заголовки чёрные, активные гиперссылки отсутствуют.</w:t>
      </w:r>
    </w:p>
    <w:p>
      <w:r>
        <w:t>Ссылки оформляются обычными подстрочными сносками, 10 пунктов, одинарный интервал. Название рисунка помещается под изображением, номер и название таблицы — над таблицей. Внутри графика заголовок не дублируется. Формулы при сборке оформляются редактируемыми средствами Word и проверяются после отображения.</w:t>
      </w:r>
    </w:p>
    <w:p>
      <w:r>
        <w:t>Писать последовательно по параграфам, начиная с главы 1. Для каждого параграфа подготовлена карта вопроса, аргумента, источников, расчётов и границ вывода. Числа берутся из реестра доказательств, а страницы ссылок — из реально прочитанной версии. Итоговая библиография содержит только использованные и проверенные источники.</w:t>
      </w:r>
    </w:p>
    <w:p>
      <w:r>
        <w:t>Рабочий реестр включает 31 научную и учебную работу и 10 официальных источников. По одной близкой публикации Joule полный текст не получен; по Head–Mayer проверены метаданные и аннотация. Это отражается в глубине допустимого пересказа. Вспомогательная запись с непроверенным годом исключена из будущей библиографии до уточнения. Главы можно начинать с имеющейся доказательной базой.</w:t>
      </w:r>
    </w:p>
    <w:p>
      <w:r>
        <w:t>Перед началом текста повторно проверены сохранённые исходные данные, соответствие модели контрольным суммам, результаты 18 расширенных спецификаций, 398 блочных повторных оценок и 16 разложений концентрации. Проверки пройдены. Этот документ является подготовительной основой; готовым дипломом он не обозначается.</w:t>
      </w:r>
    </w:p>
    <w:sectPr w:rsidR="00FC693F" w:rsidRPr="0006063C" w:rsidSect="00034616">
      <w:footerReference w:type="default" r:id="rId9"/>
      <w:pgSz w:w="11906" w:h="16838"/>
      <w:pgMar w:top="1134" w:right="567" w:bottom="113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right"/>
    </w:pPr>
    <w:fldSimple w:instr="PAGE">
      <w:r>
        <w:rPr>
          <w:sz w:val="20"/>
        </w:rPr>
        <w:t>1</w:t>
      </w:r>
    </w:fldSimpl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Eurostat. International trade in goods — detailed data: reference metadata; Comext DS-045409. Использована сохранённая выгрузка от 26.10.2026 за январь 2021 — декабрь 2025 года. Определения и контрольные суммы зафиксированы в исследовательских материалах.</w:t>
      </w:r>
    </w:p>
  </w:footnote>
  <w:footnote w:id="2">
    <w:p>
      <w:pPr>
        <w:pStyle w:val="FootnoteText"/>
      </w:pPr>
      <w:r>
        <w:rPr>
          <w:rStyle w:val="FootnoteReference"/>
        </w:rPr>
        <w:footnoteRef/>
      </w:r>
      <w:r>
        <w:t xml:space="preserve"> Santos Silva J. M. C., Tenreyro S. The Log of Gravity // Review of Economics and Statistics. 2006. Vol. 88. No. 4. P. 641–658. DOI 10.1162/rest.88.4.641. Shorrocks A. F. Decomposition procedures for distributional analysis: a unified framework based on the Shapley value // Journal of Economic Inequality. 2013. Vol. 11. P. 99–126. DOI 10.1007/s10888-011-9214-z. Методы атрибутируются литературе; собственными являются расчёты случая.</w:t>
      </w:r>
    </w:p>
  </w:footnote>
  <w:footnote w:id="3">
    <w:p>
      <w:pPr>
        <w:pStyle w:val="FootnoteText"/>
      </w:pPr>
      <w:r>
        <w:rPr>
          <w:rStyle w:val="FootnoteReference"/>
        </w:rPr>
        <w:footnoteRef/>
      </w:r>
      <w:r>
        <w:t xml:space="preserve"> Amiti M., Redding S. J., Weinstein D. E. The Impact of the 2018 Tariffs on Prices and Welfare // Journal of Economic Perspectives. 2019. Vol. 33. No. 4. P. 187–210. Целевое чтение с. 187–189. Cavallo A., Gopinath G., Neiman B., Tang J. Tariff Passthrough at the Border and at the Store: Evidence from US Trade Policy. NBER Working Paper 26396. 2019. Прочитаны аннотация и введение, основной текст с. 1–4. Журнальная версия: American Economic Review: Insights. 2021. Vol. 3. No. 1. P. 19–34.</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spacing w:line="360" w:lineRule="auto" w:before="0" w:after="0"/>
      <w:ind w:firstLine="709" w:left="0" w:right="0"/>
      <w:jc w:val="both"/>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val="0"/>
      <w:keepLines w:val="0"/>
      <w:pageBreakBefore w:val="0"/>
      <w:widowControl/>
      <w:spacing w:after="240" w:line="360" w:lineRule="auto" w:before="0"/>
      <w:ind w:firstLine="0" w:left="0" w:right="0"/>
      <w:contextualSpacing/>
      <w:jc w:val="center"/>
    </w:pPr>
    <w:rPr>
      <w:rFonts w:cstheme="majorBidi" w:ascii="Times New Roman" w:hAnsi="Times New Roman" w:eastAsia="Times New Roman" w:cs="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Chapter">
    <w:name w:val="Thesis Chapter"/>
    <w:basedOn w:val="Normal"/>
    <w:pPr>
      <w:keepNext/>
      <w:keepLines/>
      <w:pageBreakBefore/>
      <w:widowControl/>
      <w:spacing w:line="360" w:lineRule="auto" w:before="0" w:after="240"/>
      <w:ind w:firstLine="0" w:left="0" w:right="0"/>
      <w:jc w:val="left"/>
      <w:outlineLvl w:val="0"/>
    </w:pPr>
    <w:rPr>
      <w:rFonts w:ascii="Times New Roman" w:hAnsi="Times New Roman" w:eastAsia="Times New Roman" w:cs="Times New Roman"/>
      <w:b/>
      <w:i w:val="0"/>
      <w:color w:val="000000"/>
      <w:sz w:val="28"/>
    </w:rPr>
  </w:style>
  <w:style w:type="paragraph" w:customStyle="1" w:styleId="ThesisSection">
    <w:name w:val="Thesis Section"/>
    <w:basedOn w:val="Normal"/>
    <w:pPr>
      <w:keepNext/>
      <w:keepLines/>
      <w:pageBreakBefore w:val="0"/>
      <w:widowControl/>
      <w:spacing w:line="360" w:lineRule="auto" w:before="280" w:after="160"/>
      <w:ind w:firstLine="0" w:left="0" w:right="0"/>
      <w:jc w:val="left"/>
      <w:outlineLvl w:val="1"/>
    </w:pPr>
    <w:rPr>
      <w:rFonts w:ascii="Times New Roman" w:hAnsi="Times New Roman" w:eastAsia="Times New Roman" w:cs="Times New Roman"/>
      <w:b/>
      <w:i w:val="0"/>
      <w:color w:val="000000"/>
      <w:sz w:val="24"/>
    </w:rPr>
  </w:style>
  <w:style w:type="paragraph" w:customStyle="1" w:styleId="ThesisFigure">
    <w:name w:val="Thesis Figure"/>
    <w:basedOn w:val="Normal"/>
    <w:pPr>
      <w:keepNext w:val="0"/>
      <w:keepLines w:val="0"/>
      <w:pageBreakBefore w:val="0"/>
      <w:widowControl/>
      <w:spacing w:line="276" w:lineRule="auto" w:before="60" w:after="60"/>
      <w:ind w:firstLine="0" w:left="0" w:right="0"/>
      <w:jc w:val="center"/>
    </w:pPr>
    <w:rPr>
      <w:rFonts w:ascii="Times New Roman" w:hAnsi="Times New Roman" w:eastAsia="Times New Roman" w:cs="Times New Roman"/>
      <w:b/>
      <w:i w:val="0"/>
      <w:color w:val="000000"/>
      <w:sz w:val="24"/>
    </w:rPr>
  </w:style>
  <w:style w:type="paragraph" w:customStyle="1" w:styleId="ThesisSource">
    <w:name w:val="Thesis Source"/>
    <w:basedOn w:val="Normal"/>
    <w:pPr>
      <w:keepNext w:val="0"/>
      <w:keepLines w:val="0"/>
      <w:pageBreakBefore w:val="0"/>
      <w:widowControl/>
      <w:spacing w:line="276" w:lineRule="auto" w:before="60" w:after="160"/>
      <w:ind w:firstLine="0" w:left="0" w:right="0"/>
      <w:jc w:val="center"/>
    </w:pPr>
    <w:rPr>
      <w:rFonts w:ascii="Times New Roman" w:hAnsi="Times New Roman" w:eastAsia="Times New Roman" w:cs="Times New Roman"/>
      <w:b w:val="0"/>
      <w:i/>
      <w:color w:val="000000"/>
      <w:sz w:val="20"/>
    </w:rPr>
  </w:style>
  <w:style w:type="paragraph" w:customStyle="1" w:styleId="ThesisTableNumber">
    <w:name w:val="Thesis Table Number"/>
    <w:basedOn w:val="Normal"/>
    <w:pPr>
      <w:keepNext w:val="0"/>
      <w:keepLines w:val="0"/>
      <w:pageBreakBefore w:val="0"/>
      <w:widowControl/>
      <w:spacing w:line="276" w:lineRule="auto" w:before="160" w:after="40"/>
      <w:ind w:firstLine="0" w:left="0" w:right="0"/>
      <w:jc w:val="right"/>
    </w:pPr>
    <w:rPr>
      <w:rFonts w:ascii="Times New Roman" w:hAnsi="Times New Roman" w:eastAsia="Times New Roman" w:cs="Times New Roman"/>
      <w:b w:val="0"/>
      <w:i w:val="0"/>
      <w:color w:val="000000"/>
      <w:sz w:val="20"/>
    </w:rPr>
  </w:style>
  <w:style w:type="paragraph" w:customStyle="1" w:styleId="ThesisTableTitle">
    <w:name w:val="Thesis Table Title"/>
    <w:basedOn w:val="Normal"/>
    <w:pPr>
      <w:keepNext w:val="0"/>
      <w:keepLines w:val="0"/>
      <w:pageBreakBefore w:val="0"/>
      <w:widowControl/>
      <w:spacing w:line="276" w:lineRule="auto" w:before="0" w:after="100"/>
      <w:ind w:firstLine="0" w:left="0" w:right="0"/>
      <w:jc w:val="center"/>
    </w:pPr>
    <w:rPr>
      <w:rFonts w:ascii="Times New Roman" w:hAnsi="Times New Roman" w:eastAsia="Times New Roman" w:cs="Times New Roman"/>
      <w:b w:val="0"/>
      <w:i w:val="0"/>
      <w:color w:val="000000"/>
      <w:sz w:val="20"/>
    </w:rPr>
  </w:style>
  <w:style w:type="paragraph" w:customStyle="1" w:styleId="FootnoteText">
    <w:name w:val="Footnote Text"/>
    <w:basedOn w:val="Normal"/>
    <w:pPr>
      <w:keepNext w:val="0"/>
      <w:keepLines w:val="0"/>
      <w:pageBreakBefore w:val="0"/>
      <w:widowControl/>
      <w:spacing w:line="240" w:lineRule="auto" w:before="0" w:after="0"/>
      <w:ind w:firstLine="0" w:left="0" w:right="0"/>
      <w:jc w:val="both"/>
    </w:pPr>
    <w:rPr>
      <w:rFonts w:ascii="Times New Roman" w:hAnsi="Times New Roman" w:eastAsia="Times New Roman" w:cs="Times New Roman"/>
      <w:b w:val="0"/>
      <w:i w:val="0"/>
      <w:color w:val="000000"/>
      <w:sz w:val="20"/>
    </w:rPr>
  </w:style>
  <w:style w:type="character" w:customStyle="1" w:styleId="FootnoteReference">
    <w:name w:val="Footnote Reference"/>
    <w:rPr>
      <w:rFonts w:ascii="Times New Roman" w:hAnsi="Times New Roman" w:eastAsia="Times New Roman" w:cs="Times New Roman"/>
      <w:b w:val="0"/>
      <w:i w:val="0"/>
      <w:color w:val="000000"/>
      <w:sz w:val="20"/>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Основа дипломного исследования автомобильной торговли Китая и ЕС</dc:title>
  <dc:subject>Подготовка к написанию диплома по проверенным данным 2021–2025</dc:subject>
  <dc:creator>Автор исследования</dc:creator>
  <cp:keywords>Comext, Китай, ЕС, BEV, PHEV, HEV</cp:keywords>
  <dc:description>generated by python-docx</dc:description>
  <cp:lastModifiedBy/>
  <cp:revision>1</cp:revision>
  <dcterms:created xsi:type="dcterms:W3CDTF">2013-12-23T23:15:00Z</dcterms:created>
  <dcterms:modified xsi:type="dcterms:W3CDTF">2013-12-23T23:15:00Z</dcterms:modified>
  <cp:category/>
</cp:coreProperties>
</file>