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Глава 1 Теоретические основы диверсификации и волатильности экспорта интегральных схем</w:t>
      </w:r>
    </w:p>
    <w:p>
      <w:r>
        <w:t>Диверсификация экспорта обычно связывается с уменьшением зависимости от отдельных товаров и покупателей. Однако более равномерное распределение поставок не определяет однозначно изменчивость их стоимости. Значение имеют волатильность каждого потока и степень согласованности колебаний между ними. Для интегральных схем эта проблема особенно существенна: товарные категории различаются по ценовой динамике, а несколько стран назначения могут обслуживать один рынок конечной продукции. В главе рассматриваются экономические механизмы этой связи и результаты существующих исследований. На их основе обосновывается оценка товарного и географического вкладов в изменение условной исторической волатильности экспорта интегральных схем Японии и Республики Корея.</w:t>
      </w:r>
    </w:p>
    <w:p>
      <w:pPr>
        <w:pStyle w:val="Heading1"/>
      </w:pPr>
      <w:r>
        <w:t>1.1 Особенности международной торговли интегральными схемами</w:t>
      </w:r>
    </w:p>
    <w:p>
      <w:r>
        <w:t>Интегральные схемы используются как промежуточные товары при производстве электронной техники и других видов оборудования. Международное разделение труда в отрасли охватывает несколько технологических стадий. В докладе Организации экономического сотрудничества и развития (ОЭСР) выделяются проектирование, изготовление на полупроводниковых пластинах, а также сборка, тестирование и корпусирование. Каждая стадия опирается на специализированные материалы, оборудование и знания. Полный цикл создания продукта может быть распределен между несколькими экономиками, поэтому торговый поток необходимо рассматривать в связи с местом его участников в производственной цепочке.</w:t>
      </w:r>
      <w:r>
        <w:rPr>
          <w:rStyle w:val="FootnoteReference"/>
        </w:rPr>
        <w:footnoteReference w:id="1"/>
      </w:r>
      <w:r/>
    </w:p>
    <w:p>
      <w:r>
        <w:t>Существование различных организационных моделей усиливает значение такого разделения. Компании могут совмещать разработку и производство, специализироваться на проектировании либо изготавливать продукцию по заказам других участников. Пересечение границы не обязательно совпадает с передачей изделия конечному потребителю или со сменой его собственника. Таможенная стоимость поэтому характеризует валовой торговый поток, а не созданную внутри страны добавленную стоимость и не бухгалтерскую выручку конкретной компании. В дальнейшем выражение «экспортная выручка» используется как краткое обозначение номинальной стоимости зарегистрированных поставок.</w:t>
      </w:r>
    </w:p>
    <w:p>
      <w:r>
        <w:t>Отраслевая специализация создает возможности для экономии на масштабе, но одновременно формирует взаимную зависимость участников. Haramboure и соавторы исследуют эти связи с использованием межстрановых таблиц затрат и выпуска, в которых полупроводниковое производство выделено из более широкой электронной промышленности. Они показывают, что значение отрасли определяется ее положением среди поставщиков промежуточных ресурсов для других производств. Ограничение выпуска или поставок чипов способно затронуть несколько отраслей покупателей. Такой подход раскрывает производственные связи, которые невозможно полностью описать двусторонними экспортными долями.</w:t>
      </w:r>
      <w:r>
        <w:rPr>
          <w:rStyle w:val="FootnoteReference"/>
        </w:rPr>
        <w:footnoteReference w:id="2"/>
      </w:r>
      <w:r/>
    </w:p>
    <w:p>
      <w:r>
        <w:t>Для анализа торговой статистики необходимо установить товарные границы исследования. В Гармонизированной системе описания и кодирования товаров (HS) интегральные схемы относятся к позиции 8542. На шестизначном уровне выделяются процессоры и контроллеры — 854231, запоминающие устройства — 854232, усилители — 854233, прочие интегральные схемы — 854239, а также части — 854290. Эти коды и их основные наименования сохраняются в редакциях HS 2017 и HS 2022. Основную совокупность исследования составляют первые четыре категории; части включаются в отдельную проверку чувствительности. Такое определение обеспечивает одинаковые товарные границы сравнения стран.</w:t>
      </w:r>
      <w:r>
        <w:rPr>
          <w:rStyle w:val="FootnoteReference"/>
        </w:rPr>
        <w:footnoteReference w:id="3"/>
      </w:r>
      <w:r>
        <w:rPr>
          <w:rFonts w:ascii="Times New Roman" w:hAnsi="Times New Roman"/>
          <w:b w:val="0"/>
          <w:color w:val="000000"/>
          <w:sz w:val="18"/>
          <w:vertAlign w:val="superscript"/>
        </w:rPr>
        <w:t>,</w:t>
      </w:r>
      <w:r>
        <w:rPr>
          <w:rStyle w:val="FootnoteReference"/>
        </w:rPr>
        <w:footnoteReference w:id="4"/>
      </w:r>
      <w:r/>
    </w:p>
    <w:p>
      <w:r>
        <w:t>Позиция 8542 охватывает лишь часть полупроводниковой отрасли. В нее не входят все материалы, производственное оборудование и дискретные приборы. Кроме того, шестизначная классификация не позволяет непосредственно установить технологический уровень каждой схемы или ее конечное применение. Например, категория процессоров и контроллеров не ограничивается передовыми вычислительными ускорителями, а категория памяти объединяет различные виды запоминающих устройств. Поэтому изменение доли товарного кода характеризует состав зарегистрированного экспорта. Для вывода о технологическом усложнении продукции необходима более подробная информация.</w:t>
      </w:r>
    </w:p>
    <w:p>
      <w:r>
        <w:t>Внутри рассматриваемой группы существенное значение имеет различие между памятью и остальными схемами. В исследовании Jo и Jung особенности массового выпуска и стандартизации памяти связываются с выраженными колебаниями цен. Авторы сопоставляют этот сегмент с более разнообразной продукцией других типов и рассматривают высокую долю памяти как один из источников чувствительности корейского экспорта к отраслевому спаду. Следовательно, одинаковая совокупная стоимость поставок может соответствовать разной подверженности циклическим колебаниям в зависимости от состава продукции.</w:t>
      </w:r>
      <w:r>
        <w:rPr>
          <w:rStyle w:val="FootnoteReference"/>
        </w:rPr>
        <w:footnoteReference w:id="5"/>
      </w:r>
      <w:r/>
    </w:p>
    <w:p>
      <w:r>
        <w:t>Товарная неоднородность затрудняет использование единой характеристики спроса на чипы. Память, процессоры, усилители и другие схемы применяются в различных устройствах; одновременно в одном устройстве используются несколько типов компонентов. Hillrichs и Wölfl сопоставляют данные о международной торговле с отраслевой информацией о направлениях применения полупроводников. Их анализ показывает значимость различий между сегментами спроса. Для настоящего исследования это означает, что товарное деление следует сохранять и при изучении географии: экспорт разных категорий в одну страну может иметь неодинаковую динамику.</w:t>
      </w:r>
      <w:r>
        <w:rPr>
          <w:rStyle w:val="FootnoteReference"/>
        </w:rPr>
        <w:footnoteReference w:id="6"/>
      </w:r>
      <w:r/>
    </w:p>
    <w:p>
      <w:r>
        <w:t>Особенности отраслевого цикла проявляются и в различии между стоимостью и физическим объемом поставок. Номинальная экспортная выручка зависит от количества проданных изделий, их цен и состава продукции внутри товарной категории. Снижение стоимости может происходить при сокращении объема, падении цен либо одновременном изменении обоих компонентов. Напротив, рост доли памяти в денежном выражении возможен при повышении ее относительной цены без сопоставимого расширения выпуска. В работе KDI ценовой и количественный каналы рассматриваются раздельно, что подчеркивает необходимость различать их и при интерпретации торговых данных.</w:t>
      </w:r>
      <w:r>
        <w:rPr>
          <w:rStyle w:val="FootnoteReference"/>
        </w:rPr>
        <w:footnoteReference w:id="7"/>
      </w:r>
      <w:r/>
    </w:p>
    <w:p>
      <w:r>
        <w:t>Географическая структура отрасли также имеет особенности. Банк Кореи разграничивает непосредственное направление экспорта и конечный спрос на продукцию, для изготовления которой используются корейские чипы. В частности, поставки во Вьетнам рассматриваются в связи с размещением там производственных мощностей электронной промышленности. Поэтому увеличение экспортной доли страны сборки не означает равного увеличения зависимости от ее внутреннего потребления. Перераспределение таможенных потоков между государствами может происходить при сохранении зависимости от тех же рынков конечной продукции.</w:t>
      </w:r>
      <w:r>
        <w:rPr>
          <w:rStyle w:val="FootnoteReference"/>
        </w:rPr>
        <w:footnoteReference w:id="8"/>
      </w:r>
      <w:r/>
    </w:p>
    <w:p>
      <w:r>
        <w:t>Выбор Японии и Республики Корея позволяет сопоставить экспортеров одной группы промежуточных товаров с различной отраслевой специализацией. Банк Кореи уже отмечал различия в динамике полупроводникового экспорта этих стран и связывал большую амплитуду корейского цикла с товарным составом и структурой спроса. Такое сопоставление дает основание проверить, различается ли роль товарных и географических сдвигов внутри одинаковых категорий HS. Япония при этом выступает самостоятельным объектом сравнительного анализа; предположение о ее использовании в качестве контрольной группы для оценки корейской политики не вводится.</w:t>
      </w:r>
      <w:r>
        <w:rPr>
          <w:rStyle w:val="FootnoteReference"/>
        </w:rPr>
        <w:footnoteReference w:id="9"/>
      </w:r>
      <w:r/>
    </w:p>
    <w:p>
      <w:r>
        <w:t>Торговые и технологические ограничения дополняют экономические источники неопределенности. Koh рассматривает положение корейской отрасли в условиях экспортного контроля, международного размещения производств и стратегического соперничества. Из этого анализа следует, что условия доступа к рынкам и технологиям могут затрагивать несколько участков цепочки одновременно. Для исследования волатильности такие изменения представляют экономический контекст. Их самостоятельное воздействие нельзя определить лишь по совпадению даты политического решения с изменением экспортной доли.</w:t>
      </w:r>
      <w:r>
        <w:rPr>
          <w:rStyle w:val="FootnoteReference"/>
        </w:rPr>
        <w:footnoteReference w:id="10"/>
      </w:r>
      <w:r/>
    </w:p>
    <w:p>
      <w:r>
        <w:t>Наконец, следует учитывать различие между бесперебойностью снабжения и стабильностью экспортной выручки. Li и соавторы исследуют устойчивость мировой полупроводниковой торговой сети к случайному и направленному исключению узлов. В центре такого анализа находятся связность и структура сети. В настоящей работе рассматриваются колебания стоимости экспортных потоков во времени. Обе постановки относятся к экономическим рискам отрасли, однако измеряют разные явления: сохранение торговых связей не исключает сильного падения цен и выручки.</w:t>
      </w:r>
      <w:r>
        <w:rPr>
          <w:rStyle w:val="FootnoteReference"/>
        </w:rPr>
        <w:footnoteReference w:id="11"/>
      </w:r>
      <w:r/>
    </w:p>
    <w:p>
      <w:r>
        <w:t>Таким образом, международная торговля интегральными схемами характеризуется неоднородностью продукции и многостадийным размещением производства. Эти особенности определяют два требования к дальнейшему анализу. Товарные категории необходимо рассматривать раздельно, а распределение экспорта между странами следует интерпретировать с учетом производственных связей. Совокупный показатель концентрации полезен для первоначального описания структуры, но для оценки ее связи с волатильностью требуется информация о динамике составляющих потоков.</w:t>
      </w:r>
    </w:p>
    <w:p>
      <w:pPr>
        <w:pStyle w:val="Heading1"/>
      </w:pPr>
      <w:r>
        <w:t>1.2 Товарная и географическая диверсификация экспортных поставок</w:t>
      </w:r>
    </w:p>
    <w:p>
      <w:r>
        <w:t>Экспортная диверсификация означает расширение набора товаров и рынков либо более равномерное распределение поставок между ними. Товарное измерение характеризует состав продукции, географическое — направления ее реализации. Они взаимосвязаны: у каждой категории имеется собственное распределение покупателей. Поэтому изменение совокупной географии может быть обусловлено как переориентацией конкретного товара, так и ростом доли товара, который изначально поставлялся на другие рынки. Разделение этих процессов необходимо для объяснения структурных сдвигов.</w:t>
      </w:r>
    </w:p>
    <w:p>
      <w:r>
        <w:t>Cadot, Carrère и Strauss-Kahn различают расширение набора экспортируемых товаров и перераспределение стоимости внутри существующего набора, то есть экстенсивную и интенсивную стороны диверсификации. При анализе направлений аналогичное различие возникает между появлением нового покупателя и изменением долей прежних рынков. Количество направлений может увеличиваться за счет небольших и нерегулярных поставок, почти не меняющих зависимость от основных покупателей. Поэтому число товаров или партнеров следует дополнять показателями их относительной значимости.</w:t>
      </w:r>
      <w:r>
        <w:rPr>
          <w:rStyle w:val="FootnoteReference"/>
        </w:rPr>
        <w:footnoteReference w:id="12"/>
      </w:r>
      <w:r/>
    </w:p>
    <w:p>
      <w:pPr>
        <w:keepNext/>
      </w:pPr>
      <w:r>
        <w:t xml:space="preserve">Одним из распространенных показателей концентрации является индекс Херфиндаля — Хиршмана (HHI). Если </w:t>
      </w:r>
      <m:oMath>
        <m:sSub>
          <m:e>
            <m:r>
              <m:rPr>
                <m:sty m:val="i"/>
              </m:rPr>
              <m:t>s</m:t>
            </m:r>
          </m:e>
          <m:sub>
            <m:r>
              <m:rPr>
                <m:sty m:val="i"/>
              </m:rPr>
              <m:t>j</m:t>
            </m:r>
          </m:sub>
        </m:sSub>
      </m:oMath>
      <w:r>
        <w:t xml:space="preserve"> — доля рынка j в общей стоимости экспорта рассматриваемой группы, индекс определяется суммой квадратов неотрицательных долей:</w:t>
      </w:r>
    </w:p>
    <w:p>
      <w:pPr>
        <w:spacing w:before="120" w:after="120" w:line="276" w:lineRule="auto"/>
        <w:ind w:firstLine="0"/>
        <w:jc w:val="center"/>
      </w:pPr>
      <m:oMathPara>
        <m:oMathParaPr>
          <m:jc m:val="center"/>
        </m:oMathParaPr>
        <m:oMath>
          <m:r>
            <m:rPr>
              <m:sty m:val="p"/>
            </m:rPr>
            <m:t>HHI = </m:t>
          </m:r>
          <m:nary>
            <m:naryPr>
              <m:chr m:val="∑"/>
              <m:limLoc m:val="subSup"/>
              <m:supHide m:val="1"/>
            </m:naryPr>
            <m:sub>
              <m:r>
                <m:rPr>
                  <m:sty m:val="p"/>
                </m:rPr>
                <m:t>j</m:t>
              </m:r>
            </m:sub>
            <m:sup/>
            <m:e>
              <m:sSubSup>
                <m:e>
                  <m:r>
                    <m:rPr>
                      <m:sty m:val="i"/>
                    </m:rPr>
                    <m:t>s</m:t>
                  </m:r>
                </m:e>
                <m:sub>
                  <m:r>
                    <m:rPr>
                      <m:sty m:val="i"/>
                    </m:rPr>
                    <m:t>j</m:t>
                  </m:r>
                </m:sub>
                <m:sup>
                  <m:r>
                    <m:rPr>
                      <m:sty m:val="p"/>
                    </m:rPr>
                    <m:t>2</m:t>
                  </m:r>
                </m:sup>
              </m:sSubSup>
            </m:e>
          </m:nary>
          <m:r>
            <m:rPr>
              <m:sty m:val="p"/>
            </m:rPr>
            <m:t>,   </m:t>
          </m:r>
          <m:nary>
            <m:naryPr>
              <m:chr m:val="∑"/>
              <m:limLoc m:val="subSup"/>
              <m:supHide m:val="1"/>
            </m:naryPr>
            <m:sub>
              <m:r>
                <m:rPr>
                  <m:sty m:val="p"/>
                </m:rPr>
                <m:t>j</m:t>
              </m:r>
            </m:sub>
            <m:sup/>
            <m:e>
              <m:sSub>
                <m:e>
                  <m:r>
                    <m:rPr>
                      <m:sty m:val="i"/>
                    </m:rPr>
                    <m:t>s</m:t>
                  </m:r>
                </m:e>
                <m:sub>
                  <m:r>
                    <m:rPr>
                      <m:sty m:val="i"/>
                    </m:rPr>
                    <m:t>j</m:t>
                  </m:r>
                </m:sub>
              </m:sSub>
            </m:e>
          </m:nary>
          <m:r>
            <m:rPr>
              <m:sty m:val="p"/>
            </m:rPr>
            <m:t> = 1</m:t>
          </m:r>
        </m:oMath>
      </m:oMathPara>
    </w:p>
    <w:p>
      <w:r>
        <w:t>При N возможных направлениях и долях, выраженных от нуля до единицы, HHI находится в пределах от 1/N до 1. Нижняя граница достигается при равных долях, верхняя — при поставках на один рынок. Квадраты придают больший вес крупным направлениям. Аналогично рассчитываются товарная концентрация и концентрация отдельных сочетаний товара и рынка, но эти индексы описывают разные распределения. На результат влияет и детализация: объединение направлений с положительными долями повышает HHI. Поэтому сопоставление требует одинаковой сетки категорий; укрупненный остаток остальных стран нельзя трактовать как отдельный однородный рынок.</w:t>
      </w:r>
    </w:p>
    <w:p>
      <w:r>
        <w:t>Индекс описывает распределение весов, но не содержит сведений о колебаниях отдельных потоков. Две экспортные структуры с одинаковыми долями могут различаться по составу товаров, изменчивости цен и синхронности спроса. Экономическое обоснование диверсификации как способа уменьшения колебаний связано с портфельным подходом. В классической работе Markowitz риск совокупного портфеля определяется не только рисками отдельных составляющих, но и ковариациями между ними. Применительно к экспорту этот принцип позволяет перейти от количества рынков к анализу совместной динамики поставок.</w:t>
      </w:r>
      <w:r>
        <w:rPr>
          <w:rStyle w:val="FootnoteReference"/>
        </w:rPr>
        <w:footnoteReference w:id="13"/>
      </w:r>
      <w:r/>
    </w:p>
    <w:p>
      <w:r>
        <w:t>Под волатильностью далее понимается стандартное отклонение темпов изменения экспортной стоимости за выбранный период. Соответствующая дисперсия измеряет разброс темпов относительно их среднего, учитывая и рост, и падение. Поэтому она не является мерой только неблагоприятных исходов и не характеризует вероятность прекращения поставок. Такое определение соответствует задаче оценки амплитуды исторических колебаний.</w:t>
      </w:r>
    </w:p>
    <w:p>
      <w:pPr>
        <w:keepNext/>
      </w:pPr>
      <w:r>
        <w:t xml:space="preserve">Пусть </w:t>
      </w:r>
      <m:oMath>
        <m:sSub>
          <m:e>
            <m:r>
              <m:rPr>
                <m:sty m:val="i"/>
              </m:rPr>
              <m:t>g</m:t>
            </m:r>
          </m:e>
          <m:sub>
            <m:r>
              <m:rPr>
                <m:sty m:val="i"/>
              </m:rPr>
              <m:t>i</m:t>
            </m:r>
          </m:sub>
        </m:sSub>
      </m:oMath>
      <w:r>
        <w:t xml:space="preserve"> — темп изменения стоимости поставок в ячейке i, объединяющей товар и направление, а </w:t>
      </w:r>
      <m:oMath>
        <m:sSub>
          <m:e>
            <m:r>
              <m:rPr>
                <m:sty m:val="i"/>
              </m:rPr>
              <m:t>w</m:t>
            </m:r>
          </m:e>
          <m:sub>
            <m:r>
              <m:rPr>
                <m:sty m:val="i"/>
              </m:rPr>
              <m:t>i</m:t>
            </m:r>
          </m:sub>
        </m:sSub>
      </m:oMath>
      <w:r>
        <w:t xml:space="preserve"> — ее фиксированный неотрицательный вес; сумма весов равна единице. Взвешенная сумма темпов обозначается G, ковариационная матрица темпов — Σ. Для одной и той же совокупности наблюдений выполняется тождество:</w:t>
      </w:r>
    </w:p>
    <w:p>
      <w:pPr>
        <w:spacing w:before="120" w:after="120" w:line="276" w:lineRule="auto"/>
        <w:ind w:firstLine="0"/>
        <w:jc w:val="center"/>
      </w:pPr>
      <m:oMathPara>
        <m:oMathParaPr>
          <m:jc m:val="center"/>
        </m:oMathParaPr>
        <m:oMath>
          <m:r>
            <m:rPr>
              <m:sty m:val="p"/>
            </m:rPr>
            <m:t>Var(</m:t>
          </m:r>
          <m:r>
            <m:rPr>
              <m:sty m:val="i"/>
            </m:rPr>
            <m:t>G</m:t>
          </m:r>
          <m:r>
            <m:rPr>
              <m:sty m:val="p"/>
            </m:rPr>
            <m:t>) = </m:t>
          </m:r>
          <m:sSup>
            <m:e>
              <m:r>
                <m:rPr>
                  <m:sty m:val="i"/>
                </m:rPr>
                <m:t>w</m:t>
              </m:r>
            </m:e>
            <m:sup>
              <m:r>
                <m:rPr>
                  <m:sty m:val="p"/>
                </m:rPr>
                <m:t>T</m:t>
              </m:r>
            </m:sup>
          </m:sSup>
          <m:r>
            <m:rPr>
              <m:sty m:val="p"/>
            </m:rPr>
            <m:t>Σ</m:t>
          </m:r>
          <m:r>
            <m:rPr>
              <m:sty m:val="i"/>
            </m:rPr>
            <m:t>w</m:t>
          </m:r>
          <m:r>
            <m:rPr>
              <m:sty m:val="p"/>
            </m:rPr>
            <m:t> = </m:t>
          </m:r>
          <m:nary>
            <m:naryPr>
              <m:chr m:val="∑"/>
              <m:limLoc m:val="subSup"/>
              <m:supHide m:val="1"/>
            </m:naryPr>
            <m:sub>
              <m:r>
                <m:rPr>
                  <m:sty m:val="p"/>
                </m:rPr>
                <m:t>i</m:t>
              </m:r>
            </m:sub>
            <m:sup/>
            <m:e>
              <m:sSubSup>
                <m:e>
                  <m:r>
                    <m:rPr>
                      <m:sty m:val="i"/>
                    </m:rPr>
                    <m:t>w</m:t>
                  </m:r>
                </m:e>
                <m:sub>
                  <m:r>
                    <m:rPr>
                      <m:sty m:val="i"/>
                    </m:rPr>
                    <m:t>i</m:t>
                  </m:r>
                </m:sub>
                <m:sup>
                  <m:r>
                    <m:rPr>
                      <m:sty m:val="p"/>
                    </m:rPr>
                    <m:t>2</m:t>
                  </m:r>
                </m:sup>
              </m:sSubSup>
              <m:r>
                <m:rPr>
                  <m:sty m:val="p"/>
                </m:rPr>
                <m:t> Var(</m:t>
              </m:r>
              <m:sSub>
                <m:e>
                  <m:r>
                    <m:rPr>
                      <m:sty m:val="i"/>
                    </m:rPr>
                    <m:t>g</m:t>
                  </m:r>
                </m:e>
                <m:sub>
                  <m:r>
                    <m:rPr>
                      <m:sty m:val="i"/>
                    </m:rPr>
                    <m:t>i</m:t>
                  </m:r>
                </m:sub>
              </m:sSub>
              <m:r>
                <m:rPr>
                  <m:sty m:val="p"/>
                </m:rPr>
                <m:t>)</m:t>
              </m:r>
            </m:e>
          </m:nary>
          <m:r>
            <m:rPr>
              <m:sty m:val="p"/>
            </m:rPr>
            <m:t> + 2 </m:t>
          </m:r>
          <m:nary>
            <m:naryPr>
              <m:chr m:val="∑"/>
              <m:limLoc m:val="subSup"/>
              <m:supHide m:val="1"/>
            </m:naryPr>
            <m:sub>
              <m:r>
                <m:rPr>
                  <m:sty m:val="p"/>
                </m:rPr>
                <m:t>i&lt;j</m:t>
              </m:r>
            </m:sub>
            <m:sup/>
            <m:e>
              <m:sSub>
                <m:e>
                  <m:r>
                    <m:rPr>
                      <m:sty m:val="i"/>
                    </m:rPr>
                    <m:t>w</m:t>
                  </m:r>
                </m:e>
                <m:sub>
                  <m:r>
                    <m:rPr>
                      <m:sty m:val="i"/>
                    </m:rPr>
                    <m:t>i</m:t>
                  </m:r>
                </m:sub>
              </m:sSub>
              <m:r>
                <m:rPr>
                  <m:sty m:val="p"/>
                </m:rPr>
                <m:t> </m:t>
              </m:r>
              <m:sSub>
                <m:e>
                  <m:r>
                    <m:rPr>
                      <m:sty m:val="i"/>
                    </m:rPr>
                    <m:t>w</m:t>
                  </m:r>
                </m:e>
                <m:sub>
                  <m:r>
                    <m:rPr>
                      <m:sty m:val="i"/>
                    </m:rPr>
                    <m:t>j</m:t>
                  </m:r>
                </m:sub>
              </m:sSub>
              <m:r>
                <m:rPr>
                  <m:sty m:val="p"/>
                </m:rPr>
                <m:t> Cov(</m:t>
              </m:r>
              <m:sSub>
                <m:e>
                  <m:r>
                    <m:rPr>
                      <m:sty m:val="i"/>
                    </m:rPr>
                    <m:t>g</m:t>
                  </m:r>
                </m:e>
                <m:sub>
                  <m:r>
                    <m:rPr>
                      <m:sty m:val="i"/>
                    </m:rPr>
                    <m:t>i</m:t>
                  </m:r>
                </m:sub>
              </m:sSub>
              <m:r>
                <m:rPr>
                  <m:sty m:val="p"/>
                </m:rPr>
                <m:t>, </m:t>
              </m:r>
              <m:sSub>
                <m:e>
                  <m:r>
                    <m:rPr>
                      <m:sty m:val="i"/>
                    </m:rPr>
                    <m:t>g</m:t>
                  </m:r>
                </m:e>
                <m:sub>
                  <m:r>
                    <m:rPr>
                      <m:sty m:val="i"/>
                    </m:rPr>
                    <m:t>j</m:t>
                  </m:r>
                </m:sub>
              </m:sSub>
              <m:r>
                <m:rPr>
                  <m:sty m:val="p"/>
                </m:rPr>
                <m:t>)</m:t>
              </m:r>
            </m:e>
          </m:nary>
        </m:oMath>
      </m:oMathPara>
    </w:p>
    <w:p>
      <w:r>
        <w:t>Первое слагаемое отражает собственные дисперсии потоков с учетом их весов. Второе характеризует совместные колебания; суммирование по i &lt; j учитывает каждую пару один раз, поэтому перед суммой стоит множитель 2. Положительные ковариации увеличивают дисперсию относительно случая с теми же весами и собственными дисперсиями, но независимыми потоками. Отрицательные ковариации создают возможность взаимной компенсации. Значение нового направления определяется тем самым его связью со всем экспортным портфелем.</w:t>
      </w:r>
    </w:p>
    <w:p>
      <w:r>
        <w:t>Связь концентрации с дисперсией особенно наглядна при одинаковой дисперсии всех потоков и нулевых ковариациях. Тогда дисперсия взвешенной суммы равна общей дисперсии одного потока, умноженной на HHI тех же ячеек. Это частный случай, в котором уменьшение концентрации однозначно снижает волатильность. В общем случае перенос веса на менее крупный, но более волатильный поток либо на направление с высокой ковариацией с остальными поставками способен дать противоположный результат. Поэтому даже снижение HHI на неизменной сетке еще не определяет знак изменения дисперсии.</w:t>
      </w:r>
    </w:p>
    <w:p>
      <w:r>
        <w:t>Значение состава специализации раскрывается в работе Koren и Tenreyro. Авторы разделяют вклад отраслевых колебаний, общих страновых шоков и их ковариации в волатильность выпуска. По мере развития экономики меняется не только степень концентрации, но и набор отраслей, на которых она специализируется. Для интегральных схем аналогичный вопрос возникает внутри одной отрасли: перераспределение между категориями с разной динамикой может менять волатильность при неизменном количестве товарных кодов.</w:t>
      </w:r>
      <w:r>
        <w:rPr>
          <w:rStyle w:val="FootnoteReference"/>
        </w:rPr>
        <w:footnoteReference w:id="14"/>
      </w:r>
      <w:r/>
    </w:p>
    <w:p>
      <w:r>
        <w:t>Caselli и соавторы рассматривают совместное действие отраслевой специализации и международной диверсификации. Расширение торговли меняет подверженность отраслевым шокам, но одновременно позволяет распределять источники спроса и предложения между странами. Результат зависит от дисперсий и ковариаций шоков, а также от свойств отраслей специализации. Исследование относится к волатильности дохода в модели общего равновесия. Для анализа номинального экспорта отдельной товарной группы применим прежде всего этот механизм; численные оценки авторов характеризуют другую экономическую величину.</w:t>
      </w:r>
      <w:r>
        <w:rPr>
          <w:rStyle w:val="FootnoteReference"/>
        </w:rPr>
        <w:footnoteReference w:id="15"/>
      </w:r>
      <w:r/>
    </w:p>
    <w:p>
      <w:r>
        <w:t>На уровне фирм значение географического разнообразия зависит и от постоянства торговых связей. Vannoorenberghe, Wang и Yu обнаруживают, что среди небольших китайских экспортеров более разнообразной географии соответствует более высокая волатильность, тогда как среди крупных связь обратная. В предложенной модели фиксированные издержки выхода на рынок и краткосрочные шоки спроса делают часть поставок малых фирм эпизодическими. Таким образом, расширение набора направлений может менять сам характер колебаний. Фирменный механизм не переносится автоматически на агрегированный экспорт страны, но показывает границы предположения о неизменных рисках при смене структуры.</w:t>
      </w:r>
      <w:r>
        <w:rPr>
          <w:rStyle w:val="FootnoteReference"/>
        </w:rPr>
        <w:footnoteReference w:id="16"/>
      </w:r>
      <w:r/>
    </w:p>
    <w:p>
      <w:r>
        <w:t>Для полупроводников дополнительную роль играют общие источники спроса. Если несколько стран участвуют в изготовлении продукции для одного конечного рынка, их импорт компонентов может одновременно реагировать на его спад. Число непосредственных покупателей при этом превышает число независимых источников спроса. Аналогично падение мировых цен на память способно затронуть поставки одного экспортера во множество государств. Поэтому географическая диверсификация внутри товарной категории должна рассматриваться совместно с ее отраслевыми свойствами, а не как отдельная характеристика числа партнеров.</w:t>
      </w:r>
    </w:p>
    <w:p>
      <w:r>
        <w:t>Стабильность представляет только одну из характеристик экспортной структуры. Сокращение дисперсии не обязательно сопровождается ростом средней выручки, прибыльности или производительности. Освоение менее волатильного сегмента требует ресурсов, а специализация может приносить выгоды от масштаба и накопленных компетенций. Портфельная оценка экспортных долей поэтому используется для измерения исторической изменчивости, без отождествления минимальной дисперсии с оптимальной промышленной политикой.</w:t>
      </w:r>
    </w:p>
    <w:p>
      <w:pPr>
        <w:keepNext/>
      </w:pPr>
      <w:r>
        <w:t xml:space="preserve">Для разделения товарного и географического измерений обозначим через </w:t>
      </w:r>
      <m:oMath>
        <m:sSub>
          <m:e>
            <m:r>
              <m:rPr>
                <m:sty m:val="i"/>
              </m:rPr>
              <m:t>a</m:t>
            </m:r>
          </m:e>
          <m:sub>
            <m:r>
              <m:rPr>
                <m:sty m:val="i"/>
              </m:rPr>
              <m:t>k</m:t>
            </m:r>
          </m:sub>
        </m:sSub>
      </m:oMath>
      <w:r>
        <w:t xml:space="preserve"> долю категории k в экспорте, а через </w:t>
      </w:r>
      <m:oMath>
        <m:sSub>
          <m:e>
            <m:r>
              <m:rPr>
                <m:sty m:val="i"/>
              </m:rPr>
              <m:t>b</m:t>
            </m:r>
          </m:e>
          <m:sub>
            <m:r>
              <m:rPr>
                <m:sty m:val="i"/>
              </m:rPr>
              <m:t>j|k</m:t>
            </m:r>
          </m:sub>
        </m:sSub>
      </m:oMath>
      <w:r>
        <w:t xml:space="preserve"> — долю направления j в поставках этой категории. При положительном суммарном экспорте каждой категории доля ячейки представляется произведением:</w:t>
      </w:r>
    </w:p>
    <w:p>
      <w:pPr>
        <w:spacing w:before="120" w:after="120" w:line="276" w:lineRule="auto"/>
        <w:ind w:firstLine="0"/>
        <w:jc w:val="center"/>
      </w:pPr>
      <m:oMathPara>
        <m:oMathParaPr>
          <m:jc m:val="center"/>
        </m:oMathParaPr>
        <m:oMath>
          <m:sSub>
            <m:e>
              <m:r>
                <m:rPr>
                  <m:sty m:val="i"/>
                </m:rPr>
                <m:t>w</m:t>
              </m:r>
            </m:e>
            <m:sub>
              <m:r>
                <m:rPr>
                  <m:sty m:val="i"/>
                </m:rPr>
                <m:t>k,j</m:t>
              </m:r>
            </m:sub>
          </m:sSub>
          <m:r>
            <m:rPr>
              <m:sty m:val="p"/>
            </m:rPr>
            <m:t> = </m:t>
          </m:r>
          <m:sSub>
            <m:e>
              <m:r>
                <m:rPr>
                  <m:sty m:val="i"/>
                </m:rPr>
                <m:t>a</m:t>
              </m:r>
            </m:e>
            <m:sub>
              <m:r>
                <m:rPr>
                  <m:sty m:val="i"/>
                </m:rPr>
                <m:t>k</m:t>
              </m:r>
            </m:sub>
          </m:sSub>
          <m:r>
            <m:rPr>
              <m:sty m:val="p"/>
            </m:rPr>
            <m:t> </m:t>
          </m:r>
          <m:sSub>
            <m:e>
              <m:r>
                <m:rPr>
                  <m:sty m:val="i"/>
                </m:rPr>
                <m:t>b</m:t>
              </m:r>
            </m:e>
            <m:sub>
              <m:r>
                <m:rPr>
                  <m:sty m:val="i"/>
                </m:rPr>
                <m:t>j|k</m:t>
              </m:r>
            </m:sub>
          </m:sSub>
          <m:r>
            <m:rPr>
              <m:sty m:val="p"/>
            </m:rPr>
            <m:t>,   </m:t>
          </m:r>
          <m:nary>
            <m:naryPr>
              <m:chr m:val="∑"/>
              <m:limLoc m:val="subSup"/>
              <m:supHide m:val="1"/>
            </m:naryPr>
            <m:sub>
              <m:r>
                <m:rPr>
                  <m:sty m:val="p"/>
                </m:rPr>
                <m:t>k</m:t>
              </m:r>
            </m:sub>
            <m:sup/>
            <m:e>
              <m:sSub>
                <m:e>
                  <m:r>
                    <m:rPr>
                      <m:sty m:val="i"/>
                    </m:rPr>
                    <m:t>a</m:t>
                  </m:r>
                </m:e>
                <m:sub>
                  <m:r>
                    <m:rPr>
                      <m:sty m:val="i"/>
                    </m:rPr>
                    <m:t>k</m:t>
                  </m:r>
                </m:sub>
              </m:sSub>
            </m:e>
          </m:nary>
          <m:r>
            <m:rPr>
              <m:sty m:val="p"/>
            </m:rPr>
            <m:t> = 1,   </m:t>
          </m:r>
          <m:nary>
            <m:naryPr>
              <m:chr m:val="∑"/>
              <m:limLoc m:val="subSup"/>
              <m:supHide m:val="1"/>
            </m:naryPr>
            <m:sub>
              <m:r>
                <m:rPr>
                  <m:sty m:val="p"/>
                </m:rPr>
                <m:t>j</m:t>
              </m:r>
            </m:sub>
            <m:sup/>
            <m:e>
              <m:sSub>
                <m:e>
                  <m:r>
                    <m:rPr>
                      <m:sty m:val="i"/>
                    </m:rPr>
                    <m:t>b</m:t>
                  </m:r>
                </m:e>
                <m:sub>
                  <m:r>
                    <m:rPr>
                      <m:sty m:val="i"/>
                    </m:rPr>
                    <m:t>j|k</m:t>
                  </m:r>
                </m:sub>
              </m:sSub>
            </m:e>
          </m:nary>
          <m:r>
            <m:rPr>
              <m:sty m:val="p"/>
            </m:rPr>
            <m:t> = 1</m:t>
          </m:r>
        </m:oMath>
      </m:oMathPara>
    </w:p>
    <w:p>
      <w:r>
        <w:t>Сумма географических долей равна единице отдельно внутри каждой категории. Такое представление позволяет различать изменение товарных весов и перераспределение направлений при заданном товарном составе. Например, совокупная доля страны-покупателя может уменьшиться вследствие сокращения веса памяти, даже если география самой памяти осталась прежней. Географический вклад в дальнейших расчетах относится именно к изменению распределений внутри товарных категорий. Он не совпадает по определению с изменением совокупной доли отдельной страны.</w:t>
      </w:r>
    </w:p>
    <w:p>
      <w:r>
        <w:t>Теоретический анализ связывает диверсификацию с волатильностью через изменение весов потоков, различия их собственных дисперсий и ковариации. Общий отраслевой цикл способен ограничивать выгоды от расширения географии, тогда как товарный сдвиг меняет экспозицию к этому циклу. Раздельное измерение двух структурных изменений позволяет установить, усиливают ли они друг друга или частично компенсируются.</w:t>
      </w:r>
    </w:p>
    <w:p>
      <w:pPr>
        <w:pStyle w:val="Heading1"/>
      </w:pPr>
      <w:r>
        <w:t>1.3 Подходы к оценке экспортной волатильности и результаты существующих исследований</w:t>
      </w:r>
    </w:p>
    <w:p>
      <w:r>
        <w:t>Эмпирические работы уточняют условия, при которых диверсификация сопровождается более устойчивой динамикой. Их результаты следует сопоставлять с учетом измеряемого показателя и уровня агрегации. Сокращение экспорта во время кризиса характеризует реакцию на отдельный эпизод, дисперсия темпов — разброс наблюдений за период, а показатели торговой сети — распределение связей и зависимостей. Для постановки настоящего исследования необходимо установить, какие стороны структурных изменений раскрывает каждый подход.</w:t>
      </w:r>
    </w:p>
    <w:p>
      <w:r>
        <w:t>На отраслевом уровне Lee и Yu изучают годовые данные по 24 отраслям обрабатывающей промышленности Кореи за 2000–2016 годы. В модели с фиксированными эффектами более высокая страновая диверсификация связана с меньшим сокращением экспорта во время кризиса 2009 года. Для товарной диверсификации и выявленных сравнительных преимуществ аналогичный результат в их спецификации не получен. Различие между двумя видами диверсификации тем самым имеет эмпирическое основание. Однако глубина падения в одном кризисе не равнозначна волатильности на всем интервале, а категории внутри интегральных схем существенно уже отраслей обрабатывающей промышленности.</w:t>
      </w:r>
      <w:r>
        <w:rPr>
          <w:rStyle w:val="FootnoteReference"/>
        </w:rPr>
        <w:footnoteReference w:id="17"/>
      </w:r>
      <w:r/>
    </w:p>
    <w:p>
      <w:r>
        <w:t>Исследования фирм позволяют подробнее рассмотреть механизм передачи внешнего спроса. Hong и соавторы объединяют таможенные и финансовые данные китайских публичных компаний за 2005–2012 годы. Они используют рост ВВП стран назначения, взвешенный по докризисным экспортным долям, как инструмент для изменения экспорта при оценке производительности и прибыльности. Работа связывает диверсификацию с меньшими потерями во время мирового торгового спада. Такая интерпретация опирается на предпосылки об экзогенности внешнего спроса и его связи с результатами фирмы через экспорт. Само наличие наблюдений до и после кризиса этих предпосылок не заменяет.</w:t>
      </w:r>
      <w:r>
        <w:rPr>
          <w:rStyle w:val="FootnoteReference"/>
        </w:rPr>
        <w:footnoteReference w:id="18"/>
      </w:r>
      <w:r/>
    </w:p>
    <w:p>
      <w:r>
        <w:t>В модели Esposito географическое распределение продаж является результатом выбора фирм в условиях риска. Возможности диверсификации зависят от ковариации спроса между рынками; эмпирическая часть использует данные португальских предприятий. Эта постановка объясняет, почему один и тот же рынок может иметь разное значение для экспортеров с различным набором остальных направлений. Она также показывает, что экспортные доли сами реагируют на ожидаемые риски и издержки выхода на рынок. Поэтому наблюдаемая связь долей и волатильности без дополнительных условий не определяет причинное воздействие диверсификации.</w:t>
      </w:r>
      <w:r>
        <w:rPr>
          <w:rStyle w:val="FootnoteReference"/>
        </w:rPr>
        <w:footnoteReference w:id="19"/>
      </w:r>
      <w:r/>
    </w:p>
    <w:p>
      <w:r>
        <w:t>Barigozzi и соавторы исследуют совместные колебания французских экспортных транзакций за 1993–2017 годы с помощью динамической факторной модели. На квартальных данных по сочетаниям фирмы и страны назначения выделяются общий, специфический для направления и индивидуальный компоненты. Результаты показывают неодинаковую связь географической диверсификации с этими составляющими волатильности: сглаживание общих колебаний не означает такого же изменения индивидуальной части. Этот подход разделяет источники совместной динамики. В настоящем исследовании решается иной, более узкий вопрос: как меняется дисперсия при замене товарных и географических весов на неизменной истории потоков.</w:t>
      </w:r>
      <w:r>
        <w:rPr>
          <w:rStyle w:val="FootnoteReference"/>
        </w:rPr>
        <w:footnoteReference w:id="20"/>
      </w:r>
      <w:r/>
    </w:p>
    <w:p>
      <w:r>
        <w:t>Сопоставление этих работ позволяет разграничить объяснение происхождения шоков и оценку экспозиции к уже наблюдавшимся колебаниям. Структурная модель спроса, инструментальные переменные и факторная модель требуют разных данных и идентифицирующих предпосылок. Ковариационная оценка зарегистрированного экспорта объединяет изменения спроса, предложения, цен и состава продукции. Ее достоинство для поставленной задачи заключается в возможности применить к одной истории несколько точно определенных структур. Это позволяет количественно отделить изменение весов от смены самого исторического окна.</w:t>
      </w:r>
    </w:p>
    <w:p>
      <w:r>
        <w:t>Отраслевая литература показывает, почему такое сравнение должно сохранять товарную детализацию. Shin и Shin исследуют корейские торговые потоки, различая память, системные полупроводники, оборудование и части; они сочетают анализ потоков с байесовской сетью. Koo на данных UN Comtrade за 2015–2025 годы сопоставляет память, прочие интегральные схемы и полупроводниковые пластины. Изменения концентрации и направлений в этих сегментах неодинаковы. Обобщение на всю полупроводниковую отрасль может поэтому скрывать противоположные сдвиги отдельных категорий. Вместе с тем используемые границы шире четырех категорий интегральных схем, выбранных в настоящей работе.</w:t>
      </w:r>
      <w:r>
        <w:rPr>
          <w:rStyle w:val="FootnoteReference"/>
        </w:rPr>
        <w:footnoteReference w:id="21"/>
      </w:r>
      <w:r>
        <w:rPr>
          <w:rFonts w:ascii="Times New Roman" w:hAnsi="Times New Roman"/>
          <w:b w:val="0"/>
          <w:color w:val="000000"/>
          <w:sz w:val="18"/>
          <w:vertAlign w:val="superscript"/>
        </w:rPr>
        <w:t>,</w:t>
      </w:r>
      <w:r>
        <w:rPr>
          <w:rStyle w:val="FootnoteReference"/>
        </w:rPr>
        <w:footnoteReference w:id="22"/>
      </w:r>
      <w:r/>
    </w:p>
    <w:p>
      <w:r>
        <w:t>Показатели конкурентоспособности и изменения экспортной стоимости отвечают на смежные вопросы. Kitetu, Mbante II и Ko сопоставляют Корею и Японию с помощью индексов сравнительных преимуществ и торговой взаимодополняемости, включая шестизначные категории интегральных схем. Yu и Yu используют HHI и выявленные сравнительные преимущества для экспорта США за 2015–2024 годы. В работе Hong к корейским поставкам на основные рынки применяется модель постоянных рыночных долей. Эти постановки характеризуют специализацию и изменение объемов стоимостной торговли. Переход к дисперсии месячных темпов требует отдельно учитывать совместную динамику составляющих потоков.</w:t>
      </w:r>
      <w:r>
        <w:rPr>
          <w:rStyle w:val="FootnoteReference"/>
        </w:rPr>
        <w:footnoteReference w:id="23"/>
      </w:r>
      <w:r>
        <w:rPr>
          <w:rFonts w:ascii="Times New Roman" w:hAnsi="Times New Roman"/>
          <w:b w:val="0"/>
          <w:color w:val="000000"/>
          <w:sz w:val="18"/>
          <w:vertAlign w:val="superscript"/>
        </w:rPr>
        <w:t>,</w:t>
      </w:r>
      <w:r>
        <w:rPr>
          <w:rStyle w:val="FootnoteReference"/>
        </w:rPr>
        <w:footnoteReference w:id="24"/>
      </w:r>
      <w:r>
        <w:rPr>
          <w:rFonts w:ascii="Times New Roman" w:hAnsi="Times New Roman"/>
          <w:b w:val="0"/>
          <w:color w:val="000000"/>
          <w:sz w:val="18"/>
          <w:vertAlign w:val="superscript"/>
        </w:rPr>
        <w:t>,</w:t>
      </w:r>
      <w:r>
        <w:rPr>
          <w:rStyle w:val="FootnoteReference"/>
        </w:rPr>
        <w:footnoteReference w:id="25"/>
      </w:r>
      <w:r/>
    </w:p>
    <w:p>
      <w:r>
        <w:t>Не следует отождествлять и различные значения устойчивости. В аннотации Kim и Lee описано совместное использование концентрации, энтропии и сетевых показателей на данных корейской полупроводниковой торговли за 2013, 2018 и 2023 годы. У Kim и Park экспортный портфель Кореи за 1988–2017 годы рассматривается с помощью HHI, коэффициента Шарпа и Value-at-Risk. Эти работы подтверждают наличие исследований зависимости и риска в близкой предметной области. Поскольку здесь доступны только их аннотации, сопоставление ограничивается заявленными данными и методами; на них не основывается утверждение об отсутствии аналогичных расчетов.</w:t>
      </w:r>
      <w:r>
        <w:rPr>
          <w:rStyle w:val="FootnoteReference"/>
        </w:rPr>
        <w:footnoteReference w:id="26"/>
      </w:r>
      <w:r>
        <w:rPr>
          <w:rFonts w:ascii="Times New Roman" w:hAnsi="Times New Roman"/>
          <w:b w:val="0"/>
          <w:color w:val="000000"/>
          <w:sz w:val="18"/>
          <w:vertAlign w:val="superscript"/>
        </w:rPr>
        <w:t>,</w:t>
      </w:r>
      <w:r>
        <w:rPr>
          <w:rStyle w:val="FootnoteReference"/>
        </w:rPr>
        <w:footnoteReference w:id="27"/>
      </w:r>
      <w:r/>
    </w:p>
    <w:p>
      <w:r>
        <w:t>Наиболее близкий содержательный ориентир дает исследование Jo и Jung. Помимо объяснения колебаний цен на память, авторы рассчитывают изменение корейского экспорта в первом квартале 2023 года при замене соотношения памяти и остальных полупроводников на среднемировое. Темпы изменения двух сегментов при этом фиксируются. Следовательно, сценарное перевзвешивание товарного состава уже применяется в отраслевой литературе. Отличие настоящей постановки заключается в переходе от падения за один эпизод к дисперсии на общем историческом интервале и в одновременном рассмотрении географии внутри товарных категорий.</w:t>
      </w:r>
      <w:r>
        <w:rPr>
          <w:rStyle w:val="FootnoteReference"/>
        </w:rPr>
        <w:footnoteReference w:id="28"/>
      </w:r>
      <w:r/>
    </w:p>
    <w:p>
      <w:r>
        <w:t>Банк Кореи, в свою очередь, сопоставляет распределения годовых темпов экспорта Кореи, Японии и Тайваня и рассматривает зависимость от конечного спроса. Этот анализ связывает различия колебаний с высокой долей памяти и особенностями применения чипов. Таким образом, сравнение стран и значение памяти уже имеют прямых предшественников. Дальнейшее развитие вопроса состоит в количественном разделении товарного и географического изменений при одинаковом способе расчета, с учетом их взаимодействия и неопределенности оценки.</w:t>
      </w:r>
      <w:r>
        <w:rPr>
          <w:rStyle w:val="FootnoteReference"/>
        </w:rPr>
        <w:footnoteReference w:id="29"/>
      </w:r>
      <w:r/>
    </w:p>
    <w:p>
      <w:r>
        <w:t>В рассмотренной литературе сформированы необходимые теоретические и отраслевые основания исследования, но разные подходы объясняют разные величины. Показатели концентрации описывают распределение долей, сценарий KDI — вклад состава продукции в конкретное падение, факторное разложение — источники колебаний. Задача настоящей работы связывает эти направления на уровне товарно-географических потоков: определить, какую разницу в условной дисперсии дают наблюдаемые изменения товарных долей и географии внутри категорий, как собственные дисперсии и ковариации формируют эту разницу и сохраняется ли ее направление в разных исторических условиях. Это конкретный прикладной вопрос, выходящий за пределы обновления периода описательной статистики.</w:t>
      </w:r>
    </w:p>
    <w:p>
      <w:r>
        <w:t>Объектом исследования выступает экспорт интегральных схем Японии и Республики Корея, предметом — связь его товарной и географической структуры с исторической волатильностью номинальной стоимости в долларах США. Сопоставляются структуры 2017 и 2024 годов на месячных данных за 2017–2024 годы. Для сравнения с соответствующим месяцем предыдущего года используются наблюдения 2018–2024 годов. Выбор относительных изменений устраняет прямую зависимость показателя от масштаба экспортера, хотя не исключает влияния цен и валютной переоценки.</w:t>
      </w:r>
    </w:p>
    <w:p>
      <w:r>
        <w:t>В основном расчете применяется симметричный темп изменения: разность текущей стоимости и стоимости годом ранее делится на их среднее. При неотрицательных стоимостях и положительном знаменателе он ограничен интервалом от −2 до 2 и позволяет учесть появление или прекращение поставок без неограниченного роста показателя из-за малой базы. Он отличается от обычного процентного темпа, поэтому определение роста остается частью интерпретации результата и проверки чувствительности. Пропущенное наблюдение не отождествляется с нулевой поставкой.</w:t>
      </w:r>
    </w:p>
    <w:p>
      <w:r>
        <w:t>Из темпов отдельных ячеек строится индекс с фиксированными весами. Одна наблюдаемая структура применяется ко всей истории, после чего расчет повторяется с другой структурой при той же ковариационной матрице. Слово «условная» означает здесь фиксацию весов и выбранной истории колебаний. Такой показатель отличается от фактического темпа совокупного экспорта, для агрегирования которого требуются меняющиеся во времени веса. Он не является прогнозом условной дисперсии на следующий месяц. Ковариационная матрица оценивается отдельно для каждой страны; сравнение изменений внутри стран поэтому не предполагает тождества их ценовых циклов и производственных условий.</w:t>
      </w:r>
    </w:p>
    <w:p>
      <w:r>
        <w:t>Одновременная замена товарных долей и географии может давать разные промежуточные результаты в зависимости от очередности. Принцип Шепли позволяет усреднить предельный вклад каждого фактора по двум порядкам замены. Как показано у Shorrocks, такой подход обеспечивает точное аддитивное разложение. В данной работе товарный и географический вклады складываются в изменение дисперсии, распределяя между собой взаимодействие факторов. Полученное разложение относится к выбранному представлению структуры и фиксированной ковариационной матрице.</w:t>
      </w:r>
      <w:r>
        <w:rPr>
          <w:rStyle w:val="FootnoteReference"/>
        </w:rPr>
        <w:footnoteReference w:id="30"/>
      </w:r>
      <w:r/>
    </w:p>
    <w:p>
      <w:r>
        <w:t>Для представления масштаба колебаний используется стандартное отклонение, выраженное в процентных пунктах; аддитивные вклады в дисперсию имеют размерность квадрата процентных пунктов. Их нельзя напрямую складывать как вклады в стандартное отклонение. Интервалы оцениваются с сохранением временной зависимости наблюдений при фиксированных весах. Проверки на разных исторических окнах нужны потому, что общий отраслевой цикл и синхронность потоков могут меняться. Сопоставимость результата также требует проверки товарного охвата, объединения направлений и определения темпа.</w:t>
      </w:r>
    </w:p>
    <w:p>
      <w:r>
        <w:t>Экономическая интерпретация ограничена наблюдаемой стоимостной структурой. Сдвиг веса памяти может отражать цены и изменение состава изделий внутри кода; перемещение направления поставки может сохранять прежний конечный спрос. Реальная переориентация производства способна, кроме того, изменить сами темпы и ковариации. Поэтому историческое перевзвешивание дает оценку экспозиции к наблюдавшимся колебаниям, а причинный эффект торговых ограничений или осуществимой промышленной политики потребовал бы другой модели.</w:t>
      </w:r>
    </w:p>
    <w:p>
      <w:r>
        <w:t>Цель исследования состоит в оценке и объяснении изменения условной исторической волатильности при переходе от экспортной структуры 2017 года к структуре 2024 года. Эмпирический анализ устанавливает, совпадают ли направления изменения концентрации и волатильности, как соотносятся товарный и географический вклады и насколько их интерпретация зависит от исторического окна. Исследовательский вклад заключается в сопоставимом расчете для двух экспортеров, точной атрибуции структурных изменений и объяснении роли ковариаций внутри отрасли. Во второй главе рассматриваются данные и фактическая структура поставок, в третьей — модель, оценки вкладов и проверки их устойчивости.</w:t>
      </w:r>
    </w:p>
    <w:p>
      <w:pPr>
        <w:pStyle w:val="Heading1"/>
        <w:pageBreakBefore/>
      </w:pPr>
      <w:r>
        <w:t>Список использованных источников к первой главе</w:t>
      </w:r>
    </w:p>
    <w:p>
      <w:pPr>
        <w:spacing w:line="276" w:lineRule="auto" w:after="60"/>
        <w:ind w:hanging="397" w:left="397"/>
      </w:pPr>
      <w:r>
        <w:t>1. Bank of Korea (2023). Characteristics of Demand Structure for Korea’s Semiconductors and Implications. Korea Economic Outlook, May, 53–62; English release 31 July.</w:t>
      </w:r>
    </w:p>
    <w:p>
      <w:pPr>
        <w:spacing w:line="276" w:lineRule="auto" w:after="60"/>
        <w:ind w:hanging="397" w:left="397"/>
      </w:pPr>
      <w:r>
        <w:t>2. Barigozzi M.; Cuzzola A.; Grazzi M.; Moschella D. (2025; online 2024). Factoring in the Micro: A Transaction-Level Dynamic Factor Approach to the Decomposition of Export Volatility. Oxford Bulletin of Economics and Statistics 87(1), 155–184. DOI: 10.1111/obes.12639.</w:t>
      </w:r>
    </w:p>
    <w:p>
      <w:pPr>
        <w:spacing w:line="276" w:lineRule="auto" w:after="60"/>
        <w:ind w:hanging="397" w:left="397"/>
      </w:pPr>
      <w:r>
        <w:t>3. Cadot O.; Carrère C.; Strauss-Kahn V. (2013). Trade Diversification, Income, and Growth: What Do We Know? Journal of Economic Surveys 27(4), 790–812. DOI: 10.1111/j.1467-6419.2011.00719.x. Использованная версия: Cadot O.; Carrère C.; Strauss-Kahn V. (2011). Trade Diversification, Income, and Growth: What Do We Know? FERDI Working Paper P33, November.</w:t>
      </w:r>
    </w:p>
    <w:p>
      <w:pPr>
        <w:spacing w:line="276" w:lineRule="auto" w:after="60"/>
        <w:ind w:hanging="397" w:left="397"/>
      </w:pPr>
      <w:r>
        <w:t>4. Caselli F.; Koren M.; Lisicky M.; Tenreyro S. (2020). Diversification through Trade. Quarterly Journal of Economics 135(1), 449–502. DOI: 10.1093/qje/qjz028. Использованная версия: Caselli F.; Koren M.; Lisicky M.; Tenreyro S. (2019). Diversification through Trade. Author manuscript, June.</w:t>
      </w:r>
    </w:p>
    <w:p>
      <w:pPr>
        <w:spacing w:line="276" w:lineRule="auto" w:after="60"/>
        <w:ind w:hanging="397" w:left="397"/>
      </w:pPr>
      <w:r>
        <w:t>5. Esposito F. (2022). Demand risk and diversification through international trade. Journal of International Economics 135, 103562. DOI: 10.1016/j.jinteco.2021.103562. Использованная версия: Esposito F. (2020). Demand Risk and Diversification through Trade. MPRA Paper 100398, May.</w:t>
      </w:r>
    </w:p>
    <w:p>
      <w:pPr>
        <w:spacing w:line="276" w:lineRule="auto" w:after="60"/>
        <w:ind w:hanging="397" w:left="397"/>
      </w:pPr>
      <w:r>
        <w:t>6. Haramboure A.; Lalanne G.; Schwellnus C.; Guilhoto J. (2023). Vulnerabilities in the semiconductor supply chain. OECD Science, Technology and Industry Working Papers 2023/05. DOI: 10.1787/6bed616f-en.</w:t>
      </w:r>
    </w:p>
    <w:p>
      <w:pPr>
        <w:spacing w:line="276" w:lineRule="auto" w:after="60"/>
        <w:ind w:hanging="397" w:left="397"/>
      </w:pPr>
      <w:r>
        <w:t>7. Hillrichs D.; Wölfl A. (2026). More Chips, Anyone? Demand for Semiconductors in an Era of Active Industrial Policy. EconPol Forum 27(1), 35–42.</w:t>
      </w:r>
    </w:p>
    <w:p>
      <w:pPr>
        <w:spacing w:line="276" w:lineRule="auto" w:after="60"/>
        <w:ind w:hanging="397" w:left="397"/>
      </w:pPr>
      <w:r>
        <w:t>8. Hong M.-S. (2023). Analysis of export changes to major trading partners of the Korean semiconductor industry. The e-Business Studies 24(6), 179–189. DOI: 10.20462/tebs.2023.11.24.6.179.</w:t>
      </w:r>
    </w:p>
    <w:p>
      <w:pPr>
        <w:spacing w:line="276" w:lineRule="auto" w:after="60"/>
        <w:ind w:hanging="397" w:left="397"/>
      </w:pPr>
      <w:r>
        <w:t>9. Hong Q.; Jin Z.; Liu R.; Tong J. (2026). Demand Shocks, Export Diversification, and Firm Performance During the Great Trade Collapse. Journal of Economics &amp; Management Strategy, e70027, 1–18. DOI: 10.1111/jems.70027.</w:t>
      </w:r>
    </w:p>
    <w:p>
      <w:pPr>
        <w:spacing w:line="276" w:lineRule="auto" w:after="60"/>
        <w:ind w:hanging="397" w:left="397"/>
      </w:pPr>
      <w:r>
        <w:t>10. Jo K.; Jung K.-C. (2023). Semiconductor Market Trends and Macroeconomic Implications. KDI Economic Outlook, First Half, 10 May.</w:t>
      </w:r>
    </w:p>
    <w:p>
      <w:pPr>
        <w:spacing w:line="276" w:lineRule="auto" w:after="60"/>
        <w:ind w:hanging="397" w:left="397"/>
      </w:pPr>
      <w:r>
        <w:t>11. Kim C.-Y.; Park K. S. (2018). A Study on Analysis of Export Concentration of Korea: Application of Herfindahl-Hirschman Index, Concentration Ratio, Sharpe Ratio and Value-at-Risk. Korea International Commercial Review 33(3), 273–289.</w:t>
      </w:r>
    </w:p>
    <w:p>
      <w:pPr>
        <w:spacing w:line="276" w:lineRule="auto" w:after="60"/>
        <w:ind w:hanging="397" w:left="397"/>
      </w:pPr>
      <w:r>
        <w:t>12. Kim T.-H.; Lee M.-J. (2025). Assessing Trade Concentration, Dependency, and Resilience in Korea’s Semiconductor Supply Chain: A Network and Entropy-Based Approach. Journal of Korea Trade 29(7), 67–95. DOI: 10.35611/jkt.2025.29.7.67.</w:t>
      </w:r>
    </w:p>
    <w:p>
      <w:pPr>
        <w:spacing w:line="276" w:lineRule="auto" w:after="60"/>
        <w:ind w:hanging="397" w:left="397"/>
      </w:pPr>
      <w:r>
        <w:t>13. Kitetu G. M.; Mbante II A. R.; Ko J.-H. (2021). Revealed Trade Competitiveness between Korea and Japan. Is It Viable to Deepen Economic Integration? Journal of Global Business and Trade 17(2), 67–84. DOI: 10.20294/jgbt.2021.17.2.67.</w:t>
      </w:r>
    </w:p>
    <w:p>
      <w:pPr>
        <w:spacing w:line="276" w:lineRule="auto" w:after="60"/>
        <w:ind w:hanging="397" w:left="397"/>
      </w:pPr>
      <w:r>
        <w:t>14. Koh W. C. (2026). Tariffs, Tech Controls, and Techno-nationalism: Korea’s Semiconductor Industry in an Era of Sanctions and Strategic Competition. AMRO ACR-2026-03, Selected Issue 1.</w:t>
      </w:r>
    </w:p>
    <w:p>
      <w:pPr>
        <w:spacing w:line="276" w:lineRule="auto" w:after="60"/>
        <w:ind w:hanging="397" w:left="397"/>
      </w:pPr>
      <w:r>
        <w:t>15. Koo J. H. (2026). Structural Changes in Korea’s Semiconductor Supply Chain under the Changing Economic Security Environment: An Analysis of Trade Structures, 2015–2025. Public Policy Review 40(2), 319–339. DOI: 10.17327/ippa.2026.40.2.011.</w:t>
      </w:r>
    </w:p>
    <w:p>
      <w:pPr>
        <w:spacing w:line="276" w:lineRule="auto" w:after="60"/>
        <w:ind w:hanging="397" w:left="397"/>
      </w:pPr>
      <w:r>
        <w:t>16. Koren M.; Tenreyro S. (2007). Volatility and Development. Quarterly Journal of Economics 122(1), 243–287. DOI: 10.1162/qjec.122.1.243.</w:t>
      </w:r>
    </w:p>
    <w:p>
      <w:pPr>
        <w:spacing w:line="276" w:lineRule="auto" w:after="60"/>
        <w:ind w:hanging="397" w:left="397"/>
      </w:pPr>
      <w:r>
        <w:t>17. Lee J.; Yu B.-K. (2019). The Effects of Export Diversification on Macroeconomic Stabilization: Evidence from Korea. KDI Journal of Economic Policy 41(1), 1–14. DOI: 10.23895/kdijep.2019.41.1.1.</w:t>
      </w:r>
    </w:p>
    <w:p>
      <w:pPr>
        <w:spacing w:line="276" w:lineRule="auto" w:after="60"/>
        <w:ind w:hanging="397" w:left="397"/>
      </w:pPr>
      <w:r>
        <w:t>18. Li L.; Wang H.; Li Z.; Hu S. (2025). Analysis of the structure and robustness of the global semiconductor trade network. PLOS ONE 20(1), e0313162. DOI: 10.1371/journal.pone.0313162.</w:t>
      </w:r>
    </w:p>
    <w:p>
      <w:pPr>
        <w:spacing w:line="276" w:lineRule="auto" w:after="60"/>
        <w:ind w:hanging="397" w:left="397"/>
      </w:pPr>
      <w:r>
        <w:t>19. Markowitz H. (1952). Portfolio Selection. Journal of Finance 7(1), 77–91. DOI: 10.1111/j.1540-6261.1952.tb01525.x.</w:t>
      </w:r>
    </w:p>
    <w:p>
      <w:pPr>
        <w:spacing w:line="276" w:lineRule="auto" w:after="60"/>
        <w:ind w:hanging="397" w:left="397"/>
      </w:pPr>
      <w:r>
        <w:t>20. OECD (2025). Mapping the semiconductor value chain: Working towards identifying dependencies and vulnerabilities. OECD Science, Technology and Industry Policy Papers 182. DOI: 10.1787/4154cdbf-en.</w:t>
      </w:r>
    </w:p>
    <w:p>
      <w:pPr>
        <w:spacing w:line="276" w:lineRule="auto" w:after="60"/>
        <w:ind w:hanging="397" w:left="397"/>
      </w:pPr>
      <w:r>
        <w:t>21. Shin S.-Y.; Shin S.-H. (2021). Analysis of Korean Import and Export in the Semiconductor Industry: A Global Supply Chain Perspective. Journal of Korea Trade 25(6), 78–104. DOI: 10.35611/jkt.2021.25.6.78.</w:t>
      </w:r>
    </w:p>
    <w:p>
      <w:pPr>
        <w:spacing w:line="276" w:lineRule="auto" w:after="60"/>
        <w:ind w:hanging="397" w:left="397"/>
      </w:pPr>
      <w:r>
        <w:t>22. Shorrocks A. F. (2013). Decomposition procedures for distributional analysis: a unified framework based on the Shapley value. Journal of Economic Inequality 11(1), 99–126. DOI: 10.1007/s10888-011-9214-z. Использованная версия: Shorrocks A. F. (1999). Decomposition Procedures for Distributional Analysis: A Unified Framework Based on the Shapley Value. First draft, June.</w:t>
      </w:r>
    </w:p>
    <w:p>
      <w:pPr>
        <w:spacing w:line="276" w:lineRule="auto" w:after="60"/>
        <w:ind w:hanging="397" w:left="397"/>
      </w:pPr>
      <w:r>
        <w:t>23. Vannoorenberghe G.; Wang Z.; Yu Z. (2016). Volatility and diversification of exports: Firm-level theory and evidence. European Economic Review 89, 216–247. DOI: 10.1016/j.euroecorev.2016.07.002. Использованная версия: Vannoorenberghe G.; Wang Z.; Yu Z. (2014). Volatility and Diversification of Exports: Firm-Level Theory and Evidence. CESifo Working Paper 4916, July.</w:t>
      </w:r>
    </w:p>
    <w:p>
      <w:pPr>
        <w:spacing w:line="276" w:lineRule="auto" w:after="60"/>
        <w:ind w:hanging="397" w:left="397"/>
      </w:pPr>
      <w:r>
        <w:t>24. World Customs Organization (2017). Harmonized System Nomenclature, Chapter 85, heading 85.42.</w:t>
      </w:r>
    </w:p>
    <w:p>
      <w:pPr>
        <w:spacing w:line="276" w:lineRule="auto" w:after="60"/>
        <w:ind w:hanging="397" w:left="397"/>
      </w:pPr>
      <w:r>
        <w:t>25. World Customs Organization (2022). Harmonized System Nomenclature, Chapter 85, heading 85.42.</w:t>
      </w:r>
    </w:p>
    <w:p>
      <w:pPr>
        <w:spacing w:line="276" w:lineRule="auto" w:after="60"/>
        <w:ind w:hanging="397" w:left="397"/>
      </w:pPr>
      <w:r>
        <w:t>26. Yu A.; Yu S. (2026). U.S. Integrated Circuit Exports and Global Value Chain Positioning: Strategic Implications for International Business and Supply Chain Management. Open Journal of Business and Management 14(1), 51–67. DOI: 10.4236/ojbm.2026.141004.</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9–10.</w:t>
      </w:r>
    </w:p>
  </w:footnote>
  <w:footnote w:id="2">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3–5.</w:t>
      </w:r>
    </w:p>
  </w:footnote>
  <w:footnote w:id="3">
    <w:p>
      <w:pPr>
        <w:pStyle w:val="FootnoteText"/>
      </w:pPr>
      <w:r>
        <w:rPr>
          <w:rStyle w:val="FootnoteReference"/>
        </w:rPr>
        <w:footnoteRef/>
      </w:r>
      <w:r>
        <w:t xml:space="preserve"> World Customs Organization (2017). Harmonized System Nomenclature, Chapter 85, heading 85.42. Позиция 85.42.</w:t>
      </w:r>
    </w:p>
  </w:footnote>
  <w:footnote w:id="4">
    <w:p>
      <w:pPr>
        <w:pStyle w:val="FootnoteText"/>
      </w:pPr>
      <w:r>
        <w:rPr>
          <w:rStyle w:val="FootnoteReference"/>
        </w:rPr>
        <w:footnoteRef/>
      </w:r>
      <w:r>
        <w:t xml:space="preserve"> World Customs Organization (2022). Harmonized System Nomenclature, Chapter 85, heading 85.42. Позиция 85.42.</w:t>
      </w:r>
    </w:p>
  </w:footnote>
  <w:footnote w:id="5">
    <w:p>
      <w:pPr>
        <w:pStyle w:val="FootnoteText"/>
      </w:pPr>
      <w:r>
        <w:rPr>
          <w:rStyle w:val="FootnoteReference"/>
        </w:rPr>
        <w:footnoteRef/>
      </w:r>
      <w:r>
        <w:t xml:space="preserve"> Jo K.; Jung K.-C. (2023). Semiconductor Market Trends and Macroeconomic Implications. KDI Economic Outlook, First Half, 10 May. С. 1–3, 9.</w:t>
      </w:r>
    </w:p>
  </w:footnote>
  <w:footnote w:id="6">
    <w:p>
      <w:pPr>
        <w:pStyle w:val="FootnoteText"/>
      </w:pPr>
      <w:r>
        <w:rPr>
          <w:rStyle w:val="FootnoteReference"/>
        </w:rPr>
        <w:footnoteRef/>
      </w:r>
      <w:r>
        <w:t xml:space="preserve"> Hillrichs D.; Wölfl A. (2026). More Chips, Anyone? Demand for Semiconductors in an Era of Active Industrial Policy. EconPol Forum 27(1), 35–42. С. 35–42.</w:t>
      </w:r>
    </w:p>
  </w:footnote>
  <w:footnote w:id="7">
    <w:p>
      <w:pPr>
        <w:pStyle w:val="FootnoteText"/>
      </w:pPr>
      <w:r>
        <w:rPr>
          <w:rStyle w:val="FootnoteReference"/>
        </w:rPr>
        <w:footnoteRef/>
      </w:r>
      <w:r>
        <w:t xml:space="preserve"> Jo K.; Jung K.-C. (2023). Semiconductor Market Trends and Macroeconomic Implications. KDI Economic Outlook, First Half, 10 May. С. 1, 7–8.</w:t>
      </w:r>
    </w:p>
  </w:footnote>
  <w:footnote w:id="8">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9">
    <w:p>
      <w:pPr>
        <w:pStyle w:val="FootnoteText"/>
      </w:pPr>
      <w:r>
        <w:rPr>
          <w:rStyle w:val="FootnoteReference"/>
        </w:rPr>
        <w:footnoteRef/>
      </w:r>
      <w:r>
        <w:t xml:space="preserve"> Bank of Korea (2023). Characteristics of Demand Structure for Korea’s Semiconductors and Implications. Korea Economic Outlook, May, 53–62; English release 31 July. С. 54, 61–62.</w:t>
      </w:r>
    </w:p>
  </w:footnote>
  <w:footnote w:id="10">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11">
    <w:p>
      <w:pPr>
        <w:pStyle w:val="FootnoteText"/>
      </w:pPr>
      <w:r>
        <w:rPr>
          <w:rStyle w:val="FootnoteReference"/>
        </w:rPr>
        <w:footnoteRef/>
      </w:r>
      <w:r>
        <w:t xml:space="preserve"> Li L.; Wang H.; Li Z.; Hu S. (2025). Analysis of the structure and robustness of the global semiconductor trade network. PLOS ONE 20(1), e0313162. Разделы о методах и устойчивости сети.</w:t>
      </w:r>
    </w:p>
  </w:footnote>
  <w:footnote w:id="12">
    <w:p>
      <w:pPr>
        <w:pStyle w:val="FootnoteText"/>
      </w:pPr>
      <w:r>
        <w:rPr>
          <w:rStyle w:val="FootnoteReference"/>
        </w:rPr>
        <w:footnoteRef/>
      </w:r>
      <w:r>
        <w:t xml:space="preserve"> Cadot O.; Carrère C.; Strauss-Kahn V. (2011). Trade Diversification, Income, and Growth: What Do We Know? FERDI Working Paper P33, November. Раздел 2, с. 2–5.</w:t>
      </w:r>
    </w:p>
  </w:footnote>
  <w:footnote w:id="13">
    <w:p>
      <w:pPr>
        <w:pStyle w:val="FootnoteText"/>
      </w:pPr>
      <w:r>
        <w:rPr>
          <w:rStyle w:val="FootnoteReference"/>
        </w:rPr>
        <w:footnoteRef/>
      </w:r>
      <w:r>
        <w:t xml:space="preserve"> Markowitz H. (1952). Portfolio Selection. Journal of Finance 7(1), 77–91. С. 79–81.</w:t>
      </w:r>
    </w:p>
  </w:footnote>
  <w:footnote w:id="14">
    <w:p>
      <w:pPr>
        <w:pStyle w:val="FootnoteText"/>
      </w:pPr>
      <w:r>
        <w:rPr>
          <w:rStyle w:val="FootnoteReference"/>
        </w:rPr>
        <w:footnoteRef/>
      </w:r>
      <w:r>
        <w:t xml:space="preserve"> Koren M.; Tenreyro S. (2007). Volatility and Development. Quarterly Journal of Economics 122(1), 243–287. С. 243–244.</w:t>
      </w:r>
    </w:p>
  </w:footnote>
  <w:footnote w:id="15">
    <w:p>
      <w:pPr>
        <w:pStyle w:val="FootnoteText"/>
      </w:pPr>
      <w:r>
        <w:rPr>
          <w:rStyle w:val="FootnoteReference"/>
        </w:rPr>
        <w:footnoteRef/>
      </w:r>
      <w:r>
        <w:t xml:space="preserve"> Caselli F.; Koren M.; Lisicky M.; Tenreyro S. (2019). Diversification through Trade. Author manuscript, June. Авторская версия, июнь 2019 года, с. 2–3.</w:t>
      </w:r>
    </w:p>
  </w:footnote>
  <w:footnote w:id="16">
    <w:p>
      <w:pPr>
        <w:pStyle w:val="FootnoteText"/>
      </w:pPr>
      <w:r>
        <w:rPr>
          <w:rStyle w:val="FootnoteReference"/>
        </w:rPr>
        <w:footnoteRef/>
      </w:r>
      <w:r>
        <w:t xml:space="preserve"> Vannoorenberghe G.; Wang Z.; Yu Z. (2014). Volatility and Diversification of Exports: Firm-Level Theory and Evidence. CESifo Working Paper 4916, July. Аннотация и введение рабочей версии, с. 1–3.</w:t>
      </w:r>
    </w:p>
  </w:footnote>
  <w:footnote w:id="17">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18">
    <w:p>
      <w:pPr>
        <w:pStyle w:val="FootnoteText"/>
      </w:pPr>
      <w:r>
        <w:rPr>
          <w:rStyle w:val="FootnoteReference"/>
        </w:rPr>
        <w:footnoteRef/>
      </w:r>
      <w:r>
        <w:t xml:space="preserve"> Hong Q.; Jin Z.; Liu R.; Tong J. (2026). Demand Shocks, Export Diversification, and Firm Performance During the Great Trade Collapse. Journal of Economics &amp; Management Strategy, e70027, 1–18. Разделы 2–4 и 7 опубликованной электронной версии.</w:t>
      </w:r>
    </w:p>
  </w:footnote>
  <w:footnote w:id="19">
    <w:p>
      <w:pPr>
        <w:pStyle w:val="FootnoteText"/>
      </w:pPr>
      <w:r>
        <w:rPr>
          <w:rStyle w:val="FootnoteReference"/>
        </w:rPr>
        <w:footnoteRef/>
      </w:r>
      <w:r>
        <w:t xml:space="preserve"> Esposito F. (2020). Demand Risk and Diversification through Trade. MPRA Paper 100398, May. С. 1–3 рабочей версии.</w:t>
      </w:r>
    </w:p>
  </w:footnote>
  <w:footnote w:id="20">
    <w:p>
      <w:pPr>
        <w:pStyle w:val="FootnoteText"/>
      </w:pPr>
      <w:r>
        <w:rPr>
          <w:rStyle w:val="FootnoteReference"/>
        </w:rPr>
        <w:footnoteRef/>
      </w:r>
      <w:r>
        <w:t xml:space="preserve"> Barigozzi M.; Cuzzola A.; Grazzi M.; Moschella D. (2025; online 2024). Factoring in the Micro: A Transaction-Level Dynamic Factor Approach to the Decomposition of Export Volatility. Oxford Bulletin of Economics and Statistics 87(1), 155–184. Разделы 2–5 опубликованной электронной версии.</w:t>
      </w:r>
    </w:p>
  </w:footnote>
  <w:footnote w:id="21">
    <w:p>
      <w:pPr>
        <w:pStyle w:val="FootnoteText"/>
      </w:pPr>
      <w:r>
        <w:rPr>
          <w:rStyle w:val="FootnoteReference"/>
        </w:rPr>
        <w:footnoteRef/>
      </w:r>
      <w:r>
        <w:t xml:space="preserve"> Shin S.-Y.; Shin S.-H. (2021). Analysis of Korean Import and Export in the Semiconductor Industry: A Global Supply Chain Perspective. Journal of Korea Trade 25(6), 78–104. С. 78–79, 97–98.</w:t>
      </w:r>
    </w:p>
  </w:footnote>
  <w:footnote w:id="22">
    <w:p>
      <w:pPr>
        <w:pStyle w:val="FootnoteText"/>
      </w:pPr>
      <w:r>
        <w:rPr>
          <w:rStyle w:val="FootnoteReference"/>
        </w:rPr>
        <w:footnoteRef/>
      </w:r>
      <w:r>
        <w:t xml:space="preserve"> Koo J. H. (2026). Structural Changes in Korea’s Semiconductor Supply Chain under the Changing Economic Security Environment: An Analysis of Trade Structures, 2015–2025. Public Policy Review 40(2), 319–339. С. 324–325, 335–336.</w:t>
      </w:r>
    </w:p>
  </w:footnote>
  <w:footnote w:id="23">
    <w:p>
      <w:pPr>
        <w:pStyle w:val="FootnoteText"/>
      </w:pPr>
      <w:r>
        <w:rPr>
          <w:rStyle w:val="FootnoteReference"/>
        </w:rPr>
        <w:footnoteRef/>
      </w:r>
      <w:r>
        <w:t xml:space="preserve"> Kitetu G. M.; Mbante II A. R.; Ko J.-H. (2021). Revealed Trade Competitiveness between Korea and Japan. Is It Viable to Deepen Economic Integration? Journal of Global Business and Trade 17(2), 67–84. Аннотация опубликованной статьи, с. 67; полный файл не получен.</w:t>
      </w:r>
    </w:p>
  </w:footnote>
  <w:footnote w:id="24">
    <w:p>
      <w:pPr>
        <w:pStyle w:val="FootnoteText"/>
      </w:pPr>
      <w:r>
        <w:rPr>
          <w:rStyle w:val="FootnoteReference"/>
        </w:rPr>
        <w:footnoteRef/>
      </w:r>
      <w:r>
        <w:t xml:space="preserve"> Yu A.; Yu S. (2026). U.S. Integrated Circuit Exports and Global Value Chain Positioning: Strategic Implications for International Business and Supply Chain Management. Open Journal of Business and Management 14(1), 51–67. Раздел 3, с. 54–57.</w:t>
      </w:r>
    </w:p>
  </w:footnote>
  <w:footnote w:id="25">
    <w:p>
      <w:pPr>
        <w:pStyle w:val="FootnoteText"/>
      </w:pPr>
      <w:r>
        <w:rPr>
          <w:rStyle w:val="FootnoteReference"/>
        </w:rPr>
        <w:footnoteRef/>
      </w:r>
      <w:r>
        <w:t xml:space="preserve"> Hong M.-S. (2023). Analysis of export changes to major trading partners of the Korean semiconductor industry. The e-Business Studies 24(6), 179–189. Аннотация в KCI; полный текст не получен.</w:t>
      </w:r>
    </w:p>
  </w:footnote>
  <w:footnote w:id="26">
    <w:p>
      <w:pPr>
        <w:pStyle w:val="FootnoteText"/>
      </w:pPr>
      <w:r>
        <w:rPr>
          <w:rStyle w:val="FootnoteReference"/>
        </w:rPr>
        <w:footnoteRef/>
      </w:r>
      <w:r>
        <w:t xml:space="preserve"> Kim T.-H.; Lee M.-J. (2025). Assessing Trade Concentration, Dependency, and Resilience in Korea’s Semiconductor Supply Chain: A Network and Entropy-Based Approach. Journal of Korea Trade 29(7), 67–95. Аннотация в KCI; полный текст не получен.</w:t>
      </w:r>
    </w:p>
  </w:footnote>
  <w:footnote w:id="27">
    <w:p>
      <w:pPr>
        <w:pStyle w:val="FootnoteText"/>
      </w:pPr>
      <w:r>
        <w:rPr>
          <w:rStyle w:val="FootnoteReference"/>
        </w:rPr>
        <w:footnoteRef/>
      </w:r>
      <w:r>
        <w:t xml:space="preserve"> Kim C.-Y.; Park K. S. (2018). A Study on Analysis of Export Concentration of Korea: Application of Herfindahl-Hirschman Index, Concentration Ratio, Sharpe Ratio and Value-at-Risk. Korea International Commercial Review 33(3), 273–289. Аннотация в KCI; полный текст не получен.</w:t>
      </w:r>
    </w:p>
  </w:footnote>
  <w:footnote w:id="28">
    <w:p>
      <w:pPr>
        <w:pStyle w:val="FootnoteText"/>
      </w:pPr>
      <w:r>
        <w:rPr>
          <w:rStyle w:val="FootnoteReference"/>
        </w:rPr>
        <w:footnoteRef/>
      </w:r>
      <w:r>
        <w:t xml:space="preserve"> Jo K.; Jung K.-C. (2023). Semiconductor Market Trends and Macroeconomic Implications. KDI Economic Outlook, First Half, 10 May. С. 3.</w:t>
      </w:r>
    </w:p>
  </w:footnote>
  <w:footnote w:id="29">
    <w:p>
      <w:pPr>
        <w:pStyle w:val="FootnoteText"/>
      </w:pPr>
      <w:r>
        <w:rPr>
          <w:rStyle w:val="FootnoteReference"/>
        </w:rPr>
        <w:footnoteRef/>
      </w:r>
      <w:r>
        <w:t xml:space="preserve"> Bank of Korea (2023). Characteristics of Demand Structure for Korea’s Semiconductors and Implications. Korea Economic Outlook, May, 53–62; English release 31 July. С. 61–62.</w:t>
      </w:r>
    </w:p>
  </w:footnote>
  <w:footnote w:id="30">
    <w:p>
      <w:pPr>
        <w:pStyle w:val="FootnoteText"/>
      </w:pPr>
      <w:r>
        <w:rPr>
          <w:rStyle w:val="FootnoteReference"/>
        </w:rPr>
        <w:footnoteRef/>
      </w:r>
      <w:r>
        <w:t xml:space="preserve"> Shorrocks A. F. (1999). Decomposition Procedures for Distributional Analysis: A Unified Framework Based on the Shapley Value. First draft, June. Раздел 2, с. 4–6 авторской версии.</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1 Теоретические основы диверсификации и волатильности экспорта интегральных схем</dc:title>
  <dc:subject>Япония и Республика Корея</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