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Приемлемость темы диплома и результаты пяти проверок</w:t>
      </w:r>
    </w:p>
    <w:p>
      <w:r>
        <w:t>Финансовые условия США в прогнозировании рисков роста еврозоны</w:t>
      </w:r>
    </w:p>
    <w:p>
      <w:r>
        <w:t>4 октября 2026 года. Этап 14. Решение до начала написания глав.</w:t>
      </w:r>
    </w:p>
    <w:p>
      <w:r>
        <w:t>Я предлагаю сохранить тему как сравнительное прикладное исследование прогнозной полезности американских финансовых индикаторов. Данные и расчётная схема позволяют выполнить бакалаврскую работу; самостоятельный результат состоит в оценке устойчивости добавочной информации и объяснении её ограничений. Устойчивого превосходства американского индикатора над всеми ориентирами не установлено. Это ограничивает практические рекомендации, но не делает исследовательский вопрос бессодержательным.</w:t>
      </w:r>
    </w:p>
    <w:p>
      <w:r>
        <w:t>Пять пунктов проработаны: вопрос зафиксирован, добавлен отдельный эксперимент с фиксированным окном, источник экстремального выигрыша разложен по компонентам, проверена доступность исторических версий данных, подготовлены экономическая интерпретация и рекомендации. Полностью исторический информационный набор не построен. «Приемлемость» означает техническую и содержательную выполнимость этой постановки; она не означает обещания оценки или формального утверждения темы руководителем.</w:t>
      </w:r>
    </w:p>
    <w:p>
      <w:pPr>
        <w:pStyle w:val="Heading1"/>
      </w:pPr>
      <w:r>
        <w:t>1 Исследовательский вопрос и самостоятельный вклад</w:t>
      </w:r>
    </w:p>
    <w:p>
      <w:r>
        <w:t>Главный вопрос: улучшают ли индикаторы финансовых условий США прогнозирование десятого процентиля роста реального ВВП еврозоны по сравнению с европейской базовой моделью и сохраняется ли улучшение при сравнении с простыми ориентирами и проверках устойчивости?</w:t>
      </w:r>
    </w:p>
    <w:p>
      <w:r>
        <w:t>Объект — нижний хвост распределения будущего роста ВВП фиксированного состава EA20. Предмет — добавочная прогнозная информация широкого индекса NFCI и индекса системного стресса CISS США при учёте европейских условий. Рост измеряется как 400/h × ln(Y[t+h]/Y[t]), где h равен одному или четырём кварталам. Это годовой темп логарифмического роста в процентных пунктах; он не тождествен обычному процентному изменению, особенно при больших колебаниях.</w:t>
      </w:r>
    </w:p>
    <w:p>
      <w:r>
        <w:t>Оцениваемая линейная квантильная модель: Q(0,10) = a + b × прошлый рост ВВП + c × CISS еврозоны + d × ESI еврозоны + e × индикатор США. В каждой расширенной модели используется один американский индикатор. Базовая модель исключает последний член. Ориентиры — исторический десятый процентиль роста и квантильная авторегрессия. Квантиль 0,10 соответствует нижней границе, ниже которой при корректной условной калибровке должно оказываться около 10% реализаций; это не вероятность рецессии и не наихудший возможный сценарий.</w:t>
      </w:r>
    </w:p>
    <w:p>
      <w:r>
        <w:t>Главный горизонт — один квартал, четыре квартала — дополнительный. Проверочный период начинается с 2010Q1; для одного квартала доступно 63 прогноза, для четырёх — 60. Последний наблюдаемый целевой квартал — 2025Q4. Подпериод 2022–2025 годов нужен для оценки переносимости результата, но слишком короток для самостоятельного подтверждения гипотез. Пандемия не является темой диплома; экстремальные наблюдения сохраняются как проверка работоспособности модели.</w:t>
      </w:r>
    </w:p>
    <w:p>
      <w:r>
        <w:t>Гипотеза о прогнозной полезности требует снижения средней квантильной потери при добавлении индикатора США. Более сильное утверждение требует устойчивости к ориентирам, способу обучения и экстремальным значениям. Коэффициент при американском индикаторе сам по себе не доказывает прогнозной полезности или причинного влияния США.</w:t>
      </w:r>
    </w:p>
    <w:p>
      <w:r>
        <w:t>Ближайший аналог — Plaasch и Röthig (2025), исследующие Growth-at-Risk Германии с американским NFCI. Работы Figueres и Jarociński (2020), Szendrei и Varga (2023) уже исследуют финансовые условия в распределении роста еврозоны. Поэтому новизна состоит в конкретном сравнительном дизайне для EA20, сопоставлении NFCI и CISS США и диагностике устойчивости результата. Заявлять первенство включения американского индикатора нельзя. Сопоставление пяти ближайших исследований сохранено в отчёте этапа 13.</w:t>
      </w:r>
    </w:p>
    <w:p>
      <w:pPr>
        <w:pStyle w:val="Heading1"/>
      </w:pPr>
      <w:r>
        <w:t>2 Сравнение моделей и статистическая неопределённость</w:t>
      </w:r>
    </w:p>
    <w:p>
      <w:r>
        <w:t>Основная спецификация этапа 12 сохранена без изменений: расширяющееся окно, лаг роста ВВП, первые два месяца квартального ESI, семидневный запас финансовых наблюдений. В обучение входят только пары с концом целевого периода не позже предыдущего квартала. Все модели сравниваются на одинаковых датах. Это ограничивает использование ещё не опубликованных наблюдений, но не устраняет пересмотры исторических рядов.</w:t>
      </w:r>
    </w:p>
    <w:p>
      <w:r>
        <w:t>Дополнительно рассчитаны 615 прогнозов пяти моделей с фиксированным окном из последних 52 допустимых квартальных пар. Это 13 лет обучения; окно помещается в исходную выборку для обоих горизонтов и не увеличивается со временем. Размер зафиксирован до получения результатов дополнительного эксперимента и не оптимизировался. Выбор сделан после знакомства с основными результатами, поэтому эксперимент является дополнительным исследовательским анализом. В хвосте такого окна ожидается примерно пять наблюдений; оценки коэффициентов могут быть нестабильны.</w:t>
      </w:r>
    </w:p>
    <w:p>
      <w:r>
        <w:t>На горизонте один квартал отношение средней потери NFCI к BASE равно 0,8161: наблюдаемое снижение составляет 18,4%. Однако отношение к HIST равно 1,2750: потеря выше на 27,5%. CISS США почти не меняет результат BASE: отношение 0,9885. NFCI имеет меньшую потерю, чем CISS США, с отношением 0,8256. Все сравнения относятся к фиксированному окну и не подменяют основной эксперимент.</w:t>
      </w:r>
    </w:p>
    <w:p>
      <w:r>
        <w:t>Для проверки применён безусловный вариант сравнения прогнозных методов с ограниченной памятью, мотивированный Giacomini и White (2006), раздел 3.4. Проверяется нулевая ожидаемая разность потерь. Статистика — средняя парная разность, делённая на её HAC-ошибку; использованы веса Бартлетта, четыре лага и восемь лагов для чувствительности. Для четырёх сравнений на основном горизонте применена поправка Холма. Эта рамка допускает вложенные модели при выполнении своих условий. Проверка условного покрытия квантиля — другая задача; она здесь не заменяется данным тестом.</w:t>
      </w:r>
    </w:p>
    <w:p>
      <w:r>
        <w:t>Для NFCI против BASE средняя разность потерь составляет −0,3453, приближённый 95-процентный интервал при четырёх лагах — от −0,9288 до 0,2383; p-значение до поправки равно 0,246, после поправки — 0,739. Для NFCI против HIST интервал включает и отрицательные, и положительные разности. Ни одно из четырёх сравнений на основном горизонте не даёт отклонения на уровне 5%; восемь лагов не меняют этот вывод. Это не доказательство равенства методов и не свидетельство отсутствия экономической связи.</w:t>
      </w:r>
    </w:p>
    <w:p>
      <w:r>
        <w:t>На горизонте четыре квартала фиксированное окно даёт NFCI/BASE = 0,9267, тогда как в основной расширяющейся схеме это отношение равно 1,3049. Следовательно, даже направление относительного преимущества зависит от способа обучения. NFCI/HIST в фиксированном окне равно 1,6743. Результат четырёх кварталов остаётся вспомогательным; цели перекрываются.</w:t>
      </w:r>
    </w:p>
    <w:p>
      <w:r>
        <w:t>HAC-приближение требует условий на зависимость, моменты и дисперсию потерь. Фиксированное окно само по себе их не доказывает. Общие обучающие наблюдения могут создавать длительную зависимость; лаги 4 и 8 не гарантируют её полного описания. Короткая выборка и экстремальные сдвиги ухудшают точность приближения. Поэтому тест служит дополнительной оценкой неопределённости, а не сертификатом превосходства. Формальный wild-bootstrap тест условного покрытия Corradi и соавторов (2023) не выполнен и не заявляется необходимым результатом этой постановки.</w:t>
      </w:r>
    </w:p>
    <w:p>
      <w:r>
        <w:t>Проверены решение задач линейного программирования, общие даты прогнозов, фиксированный объём обучения и ограничение по целевым датам. Формула HAC сверена с независимой матричной реализацией. Все заново рассчитанные прогнозы основной схемы для трёх финансовых моделей совпали с сохранёнными значениями с точностью 10⁻⁶.</w:t>
      </w:r>
    </w:p>
    <w:p>
      <w:pPr>
        <w:pStyle w:val="Heading1"/>
      </w:pPr>
      <w:r>
        <w:t>3 Почему возник экстремальный выигрыш</w:t>
      </w:r>
    </w:p>
    <w:p>
      <w:r>
        <w:t>В точке прогнозирования 2020Q4 прошлый годовой логарифмический рост ВВП равен 43,79, тогда как максимальный рост в обучающей выборке составляет 5,07. Линейная модель применяет ранее оценённую связь далеко за пределами обучающих значений. BASE прогнозирует нижний квантиль 34,80, модель с NFCI — 20,25, фактический будущий рост равен 3,49. Обе модели дают чрезмерно высокий нижний квантиль; меньшая ошибка расширенной модели не означает успешного прогноза риска.</w:t>
      </w:r>
    </w:p>
    <w:p>
      <w:r>
        <w:t>Разложение сделано относительно общих средних обучающей выборки, чтобы вклад индикатора не зависел от произвольного нуля шкалы. В BASE вклад отклонения прошлого роста от среднего составляет 35,26; в модели NFCI — 20,39. Разница −14,87 почти полностью объясняет разность прогнозов −14,56. Собственный центрированный член NFCI составляет +0,47: он в этой точке повышает прогнозируемый квантиль, а не создаёт его снижение. Оставшаяся разница связана с переоценкой константы и европейских коэффициентов. Это алгебраическое разложение прогнозов, не причинная декомпозиция финансовых каналов.</w:t>
      </w:r>
    </w:p>
    <w:p>
      <w:r>
        <w:t>Для диагностики во всех датах прошлый рост ограничен минимумом и максимумом соответствующей обучающей выборки, при сохранении первоначальных коэффициентов. На основном горизонте это затрагивает три точки прогнозирования: 2020Q2, 2020Q3 и 2020Q4. Ни один фактический исход не удалён. В 2020Q4 прогнозы становятся 2,59 у BASE и 1,62 у NFCI; потери равны 0,091 и 0,188 соответственно. В этой диагностике BASE оказывается лучше.</w:t>
      </w:r>
    </w:p>
    <w:p>
      <w:r>
        <w:t>На всех 63 датах отношение NFCI/BASE меняется с 0,8417 до 0,9603: наблюдаемое снижение потерь сокращается с 15,8% до 4,0%. На горизонте четыре квартала отношение меняется с 1,3049 до 1,1472 и остаётся выше единицы. Это подтверждает чувствительность к экстраполяции. Данную диагностику нельзя объявлять оптимальной исправленной моделью: правило исследовано после обнаружения проблемы. Она также отличается от проверки этапа 12 с переоценкой на ограниченном по процентилям росте.</w:t>
      </w:r>
    </w:p>
    <w:p>
      <w:r>
        <w:t>Содержательный вывод: часть видимой добавочной полезности возникает вместе с изменением реакции модели на необычную динамику ВВП. На основании общего выигрыша нельзя приписывать весь эффект информации американского финансового индикатора. Такой результат объясняет границы применения распространённой линейной модели и представляет самостоятельный эмпирический материал.</w:t>
      </w:r>
    </w:p>
    <w:p>
      <w:pPr>
        <w:pStyle w:val="Heading1"/>
      </w:pPr>
      <w:r>
        <w:t>4 Данные и историческая реалистичность</w:t>
      </w:r>
    </w:p>
    <w:p>
      <w:r>
        <w:t>Основной расчёт использует сохранённые значения ВВП EA20, ESI EA20, CISS еврозоны, CISS США и NFCI. Эти ряды уже позволяют воспроизвести исследование. Для CISS еврозоны используется U2 с меняющимся составом. Его можно трактовать как внешний для фиксированной целевой экономики показатель общеевропейской финансовой среды, но численная безвредность различия состава не доказана. Самостоятельное среднее страновых CISS не воспроизводит системную агрегацию.</w:t>
      </w:r>
    </w:p>
    <w:p>
      <w:r>
        <w:t>Доступность исторических версий NFCI подтверждена практической выгрузкой ALFRED: скачан ряд за 2019–2020 годы в версии на 31 декабря 2020 года. На 104 общих неделях среднее абсолютное отличие от снимка проекта равно 0,0361 пункта индекса, максимальное — 0,1027; корреляция равна 0,9904. Высокая корреляция не доказывает неизменность прогнозов хвоста. Это пилот сопоставления двух версий одного индикатора, а не полностью историческая проверка модели. Метаданные ALFRED показывают начало истории публикаций 25 мая 2011 года.</w:t>
      </w:r>
    </w:p>
    <w:p>
      <w:r>
        <w:t>Eurostat публикует архивные версии ВВП и треугольники пересмотров. В метаданных винтажной базы отдельно указаны версии ВВП ESA 2010 с 17 октября 2014 года и состав европейских агрегатов на дату публикации. Поэтому исторический ВВП нельзя механически отождествить с современным фиксированным EA20. Официальная страница треугольников указывает начало текущего ряда еврозоны с 2012Q1 и отдельный старый файл EA12 за 2003–2014 годы. Файлы и статус загрузки указаны в журнале источников.</w:t>
      </w:r>
    </w:p>
    <w:p>
      <w:r>
        <w:t>На странице EABCN размещено уведомление о текущей недоступности RTDB, хотя ниже сохранено описание прежнего доступа через ECB. Наличие описания базы не считается подтверждением работающей выгрузки. Полный согласованный комплект исторических версий ESI и современных New CISS для всех дат эксперимента также не подтверждён. Современная историческая серия New CISS не доказывает доступности той же методологии в прошлом.</w:t>
      </w:r>
    </w:p>
    <w:p>
      <w:r>
        <w:t>Решение: основная работа остаётся псевдовневыборочным сравнением на пересмотренных данных с календарными ограничениями. Подтверждённая возможность выгрузить NFCI не превращает остальные ряды в реальные исторические информационные наборы. Полная реконструкция потребовала бы отдельного дизайна состава еврозоны, версий каждого предиктора и определения целевого ВВП — первой публикации либо поздней оценки. Обещать её в текущем дипломе не следует.</w:t>
      </w:r>
    </w:p>
    <w:p>
      <w:pPr>
        <w:pStyle w:val="Heading1"/>
      </w:pPr>
      <w:r>
        <w:t>5 Экономическая интерпретация и рекомендации</w:t>
      </w:r>
    </w:p>
    <w:p>
      <w:r>
        <w:t>Финансовые условия США могут содержать информацию о глобальном аппетите к риску, стоимости финансирования и состоянии финансовых посредников. Такие изменения способны сопровождаться переоценкой европейских активов и изменением кредитных условий. NFCI включает широкий набор финансовых показателей; CISS ориентирован на совместный стресс нескольких сегментов рынка. Поэтому они могут по-разному описывать обычное ужесточение условий и системный стресс. Эту мотивацию поддерживают документы Chicago Fed, работа Chavleishvili и Kremer (2023) и литература о международных финансовых связях.</w:t>
      </w:r>
    </w:p>
    <w:p>
      <w:r>
        <w:t>Наши регрессии не отделяют американский шок от общего мирового фактора, обратной связи или синхронной реакции на новости. Наличие европейского CISS и ESI не обеспечивает причинной идентификации. Более слабый результат CISS США может означать дублирование европейского стресса, шум либо недостаточную выборку; без дополнительной идентификации выбрать единственное объяснение нельзя. Подтверждённое расчётом объяснение относится к экстраполяции роста, а не к доказанному каналу международной трансмиссии.</w:t>
      </w:r>
    </w:p>
    <w:p>
      <w:r>
        <w:t>Рекомендация для аналитика: использовать американские индикаторы как дополнительные сведения в наборе прогнозов, сохраняя простые ориентиры. Данный эксперимент не оправдывает замену исторического квантиля моделью NFCI. Более низкая средняя потеря против одной сложной модели недостаточна для выбора рабочего инструмента.</w:t>
      </w:r>
    </w:p>
    <w:p>
      <w:r>
        <w:t>Рекомендация по контролю модели: при выходе предиктора за обучающий диапазон отмечать прогноз как требующий проверки, показывать исходную и диагностическую оценки. Порог, равный обучающему минимуму и максимуму, здесь служит прозрачным сигналом экстраполяции; его оптимальность и полезность для реальных решений не установлены. Автоматическое ограничение всех прогнозов не предлагается как доказанно лучший метод.</w:t>
      </w:r>
    </w:p>
    <w:p>
      <w:r>
        <w:t>Рекомендация по горизонтам и данным: отдельно оценивать один и четыре квартала; фиксировать версии источников и даты доступности; не переносить вывод короткого подпериода на будущие режимы. Для реального мониторинга требуется предварительная проверка на исторических версиях всех входов. Эти рекомендации следуют из выявленных ограничений; работа не позволяет рекомендовать изменение ставки ЕЦБ или нормативов капитала.</w:t>
      </w:r>
    </w:p>
    <w:p>
      <w:pPr>
        <w:pStyle w:val="Heading1"/>
      </w:pPr>
      <w:r>
        <w:t>Структура диплома и решение о продолжении</w:t>
      </w:r>
    </w:p>
    <w:p>
      <w:r>
        <w:t>Введение: исследовательский вопрос, экономическая мотивация международного сравнения, цель, задачи, границы новизны, данные и методы.</w:t>
      </w:r>
    </w:p>
    <w:p>
      <w:r>
        <w:t>Глава 1 Теоретические основы: финансовые условия и риск роста; международные связи и альтернативные механизмы; различия NFCI и CISS; Growth-at-Risk и квантильные прогнозы; ближайшие исследования и место собственного дизайна.</w:t>
      </w:r>
    </w:p>
    <w:p>
      <w:r>
        <w:t>Глава 2 Эмпирическое исследование: происхождение и преобразование данных; модель и календарь обучения; основные результаты и простые ориентиры; дополнительное фиксированное окно и неопределённость; разложение экстремального прогноза; устойчивость по горизонтам и ограничения исторической реалистичности.</w:t>
      </w:r>
    </w:p>
    <w:p>
      <w:r>
        <w:t>Глава 3 Рекомендации для оценки рисков роста: условия использования индикаторов США; контроль экстраполяции и сравнение с ориентирами; требования к версиям данных; границы применения результатов к мониторингу и экономической политике.</w:t>
      </w:r>
    </w:p>
    <w:p>
      <w:r>
        <w:t>Заключение: ответ на вопрос в пределах выборки, самостоятельный вклад, ограничения и направления дальнейшей проверки. Список источников. Приложения: код, словарь данных, протокол, результаты всех вариантов, журналы загрузок и проверки воспроизводимости. Главы на этом этапе не написаны.</w:t>
      </w:r>
    </w:p>
    <w:p>
      <w:r>
        <w:t>По критериям выполнимости тема проходит: вопрос проверяем, основной набор данных собран, модели рассчитываются, результаты допускают содержательное объяснение, умеренный вклад отделён от существующей литературы. По более сильному требованию «построить доказанно лучший реальный прогноз» тема в текущем исполнении не проходит: универсального превосходства и полного исторического дизайна нет.</w:t>
      </w:r>
    </w:p>
    <w:p>
      <w:r>
        <w:t>Предлагаю утверждать именно сравнительную постановку с анализом устойчивости. Оснований менять тему только из-за отсутствия статистически убедительного выигрыша сейчас нет. Уровень «отлично» остаётся достижимой целью качества всей работы и защиты, а не установленным свойством темы. Для административного утверждения потребуется согласование руководителем, которому можно передать этот документ.</w:t>
      </w:r>
    </w:p>
    <w:p>
      <w:pPr>
        <w:pStyle w:val="Heading1"/>
      </w:pPr>
      <w:r>
        <w:t>Материалы и воспроизводимость</w:t>
      </w:r>
    </w:p>
    <w:p>
      <w:r>
        <w:t>Новые файлы находятся в acceptance. compute.py повторяет дополнительный эксперимент на сохранённых исходных данных; rolling_tests.csv содержит все статистики, extrapolation.csv — диагностику по всем датам, centered_decomposition.csv — разложение 2020Q4. PROTOCOL.json фиксирует дизайн; validation.json — выполненные вычислительные проверки. Для запуска нужны Python, NumPy, pandas и SciPy. Ранее сохранённые материалы этапов 12 и 13 не изменены.</w:t>
      </w:r>
    </w:p>
    <w:p>
      <w:r>
        <w:t>Giacomini R., White H. (2006). Tests of Conditional Predictive Ability. Econometrica, 74(6), 1545–1578. DOI: 10.1111/j.1468-0262.2006.00718.x. Полный текст дополнительно сохранён в acceptance/sources/GW2006.pdf; методический фрагмент — раздел 3.4, страница журнала 1557.</w:t>
      </w:r>
    </w:p>
    <w:p>
      <w:r>
        <w:rPr>
          <w:sz w:val="20"/>
        </w:rPr>
        <w:t>ALFRED NFCI: https://alfred.stlouisfed.org/series?seid=NFCI</w:t>
      </w:r>
    </w:p>
    <w:p>
      <w:r>
        <w:rPr>
          <w:sz w:val="20"/>
        </w:rPr>
        <w:t>Chicago Fed NFCI: https://www.chicagofed.org/research/data/nfci/current-data</w:t>
      </w:r>
    </w:p>
    <w:p>
      <w:r>
        <w:rPr>
          <w:sz w:val="20"/>
        </w:rPr>
        <w:t>Eurostat версии данных: https://ec.europa.eu/eurostat/cache/metadata/en/euroind_vtg_esms.htm</w:t>
      </w:r>
    </w:p>
    <w:p>
      <w:r>
        <w:rPr>
          <w:sz w:val="20"/>
        </w:rPr>
        <w:t>Eurostat пересмотры ВВП: https://ec.europa.eu/eurostat/en/web/national-accounts/database/data-revisions</w:t>
      </w:r>
    </w:p>
    <w:p>
      <w:r>
        <w:rPr>
          <w:sz w:val="20"/>
        </w:rPr>
        <w:t>EABCN RTDB: https://eabcn.org/data/eabcn-real-time-database</w:t>
      </w:r>
    </w:p>
    <w:p>
      <w:r>
        <w:t>Остальная библиография и ранее доступные 28 полных текстов из реестра 34 исследований сохранены в catalog и papers. Новая методическая работа приложена отдельно; число подтверждённо прочитанных работ не увеличивается автоматически от наличия PDF.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Приемлемость темы диплома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