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Проверка оснований для утверждения темы</w:t>
      </w:r>
    </w:p>
    <w:p>
      <w:r>
        <w:t>Финансовые условия США в прогнозировании рисков роста еврозоны</w:t>
      </w:r>
    </w:p>
    <w:p>
      <w:r>
        <w:t>Этап 13. 3 октября 2026 года. Записка по результатам четырёх проверок до начала написания диплома.</w:t>
      </w:r>
    </w:p>
    <w:p>
      <w:r>
        <w:t>Тема пригодна для содержательного прикладного диплома, если исследовательский результат — оценка границ прогнозной полезности американских индикаторов. Устойчивое улучшение прогнозов пока не доказано. Сильная сторона проекта — воспроизводимое сравнение и объяснение чувствительности результата. Ограничения — умеренная новизна, пересмотренные данные и короткая проверочная выборка. Ни одно из них нельзя скрывать обещанием высокой оценки.</w:t>
      </w:r>
    </w:p>
    <w:p>
      <w:pPr>
        <w:pStyle w:val="Heading1"/>
      </w:pPr>
      <w:r>
        <w:t>Сопоставление с ближайшими работами</w:t>
      </w:r>
    </w:p>
    <w:p>
      <w:r>
        <w:t>S26. Plaasch и Röthig, A Growth-at-Risk model for the German economy, Bundesbank Technical Paper 05/2025. Ближайший аналог объединяет немецкий рост, внутренний стресс CLIFS, американский NFCI, настроения бизнеса и динамику ВВП. Авторы сравнивают 200 спецификаций и используют исторические информационные наборы ВВП BMPE. В описанной процедуре последовательная оценка начинается с 2013Q1, с 42 оценками на спецификацию. Сведения о BMPE находятся на физических PDF-страницах 9–10.</w:t>
      </w:r>
    </w:p>
    <w:p>
      <w:r>
        <w:t>Наше отличие — агрегат еврозоны, отдельное сопоставление NFCI и CISS США, ограниченный набор моделей и разбор экстраполяции роста. Добавление американского индикатора к внутренним условиям и ожиданиям не является нашей новацией. Историческая реалистичность данных у немецкой работы выше; её BMPE-эксперимент мы не воспроизводим.</w:t>
      </w:r>
    </w:p>
    <w:p>
      <w:r>
        <w:t>S08. Figueres и Jarociński, Vulnerable Growth in the Euro Area: Measuring the Financial Conditions, 2020. Работа сравнивает финансовые индикаторы для хвостов роста еврозоны и обосновывает полезность CISS. Общая выборка начала целевых интервалов — 1999Q1–2018Q2; оценивается рост на год вперёд. Есть дополнительное вневыборочное сравнение плотностей. В архиве доступна развёрнутая версия ECB Working Paper 2458; релевантные физические PDF-страницы 9 и 11–12.</w:t>
      </w:r>
    </w:p>
    <w:p>
      <w:r>
        <w:t>Наше отличие — дополнительная информация американских индикаторов при уже включённых европейском стрессе и настроениях, основной квартальный горизонт и обязательные простые ориентиры. Первое применение Growth at Risk к еврозоне не заявляется. Используемый нами New CISS необходимо отличать от исходного CISS этой работы.</w:t>
      </w:r>
    </w:p>
    <w:p>
      <w:r>
        <w:t>S25. Szendrei и Varga, Revisiting vulnerable growth in the Euro Area: Identifying the role of financial conditions in the distribution, 2023. Исследование применяет выбор переменных для разных частей распределения роста, адаптивную LASSO и ограничения непересечения квантилей. Выборка 2003Q1–2019Q3 не включает пандемию; метод и данные описаны на PDF-страницах 2–4.</w:t>
      </w:r>
    </w:p>
    <w:p>
      <w:r>
        <w:t>Наше отличие — фиксированное сравнение двух американских индикаторов и новые периоды оценки. Сам вопрос о наиболее полезных финансовых переменных для еврозоны уже разработан. Мы не предлагаем новый алгоритм отбора и не обосновываем вклад большим количеством регрессоров.</w:t>
      </w:r>
    </w:p>
    <w:p>
      <w:r>
        <w:t>S27. Amburgey и McCracken, On the real-time predictive content of financial condition indices for growth, 2023. Авторы исследуют американский рост, восстанавливают ранние неофициальные винтажи NFCI и рассматривают вложенные квантильные модели при пересмотрах данных. Исторические версии могут лучше сохранять сигналы поворотных точек. Основные положения находятся во введении, PDF-страницы 3–5; методологическое обсуждение продолжается на страницах 13–20.</w:t>
      </w:r>
    </w:p>
    <w:p>
      <w:r>
        <w:t>Наше отличие — трансграничная постановка для еврозоны и сопоставление NFCI с CISS США. Наш результат не опровергает эту статью: отличаются экономика, версии данных и процедура. Мы не воспроизводим её real-time эксперимент.</w:t>
      </w:r>
    </w:p>
    <w:p>
      <w:r>
        <w:t>S11. Corradi, Fosten и Gutknecht, Out-of-sample tests for conditional quantile coverage: An application to Growth-at-Risk, 2023. Работа сравнивает условное покрытие прогнозных интервалов, учитывает вложенные и пересекающиеся модели и обосновывает wild bootstrap. Во введении обсуждаются ограничения мощности на квартальных данных. В архиве сохранён полный текст; основные положения доступны на физических PDF-страницах 2–4.</w:t>
      </w:r>
    </w:p>
    <w:p>
      <w:r>
        <w:t>Это методологический ориентир, а не выполненная нами репликация. Наше ресемплирование готовых потерь и перестановки нарушений не являются тестом этих авторов. Потери, средняя частота нарушений и динамическая калибровка отвечают на разные вопросы.</w:t>
      </w:r>
    </w:p>
    <w:p>
      <w:r>
        <w:t>Все пять полных текстов находятся в архиве. Дополнительные попытки получить S05 Backtesting Global Growth-at-Risk через SSRN и S09 Reassessing Growth Vulnerability через Wiley ранее на этом этапе вернули HTTP 403. Их полные тексты не получены; число доступных PDF остаётся 28, шесть карточек остаются предварительными. Страница BSE по S05 подтверждает сравнение квантильных моделей с GARCH для 24 стран. Поэтому наш набор ориентиров ограничен: результаты нельзя переносить на все классы прогнозных моделей.</w:t>
      </w:r>
    </w:p>
    <w:p>
      <w:pPr>
        <w:pStyle w:val="Heading1"/>
      </w:pPr>
      <w:r>
        <w:t>Формулировка самостоятельного вклада</w:t>
      </w:r>
    </w:p>
    <w:p>
      <w:r>
        <w:t>На едином квартальном наборе данных оценивается дополнительная информация NFCI и CISS США для нижнего квантиля роста еврозоны при контроле европейского стресса и настроений. Проверяется, насколько вывод зависит от горизонта, ориентира сравнения и экстраполяции роста ВВП.</w:t>
      </w:r>
    </w:p>
    <w:p>
      <w:r>
        <w:t>Это прикладная проверка переносимости известного подхода и устойчивости результата. Одна смена географии даёт ограниченную новизну. Содержательный вклад — честное сравнение двух индикаторов и объяснение того, почему кажущийся выигрыш может отражать слабость базовой модели. Формулировки «впервые», «новый механизм» и «новый метод» не обоснованы. Найденные аналоги следует прямо обсудить; проведённый поиск не доказывает отсутствие любой идентичной публикации.</w:t>
      </w:r>
    </w:p>
    <w:p>
      <w:pPr>
        <w:pStyle w:val="Heading1"/>
      </w:pPr>
      <w:r>
        <w:t>Экономическое объяснение</w:t>
      </w:r>
    </w:p>
    <w:p>
      <w:r>
        <w:t>NFCI объединяет широкий набор условий риска, кредита и финансового рычага. Chicago Fed описывает 105 показателей; S33 и S34 Brave и Butters связывают условия с текущим стрессом и накоплением уязвимостей. Индекс нельзя считать чистым внешним шоком: его компоненты связаны с экономической активностью, а исторические значения пересматриваются.</w:t>
      </w:r>
    </w:p>
    <w:p>
      <w:r>
        <w:t>New CISS из S02 Chavleishvili и Kremer отражает системный характер стресса, включая совместное движение напряжённости в сегментах рынка. Исходный CISS 2012 года и обновлённую ежедневную версию 2023 года необходимо различать. Отличие от NFCI состоит в составе, преобразовании и способе агрегирования информации.</w:t>
      </w:r>
    </w:p>
    <w:p>
      <w:r>
        <w:t>S30 Brandt и соавторов, ECB Working Paper 2560 в редакции марта 2026 года, показывает важность одновременного рассмотрения американских влияний, европейских факторов и глобального риска. Это поддерживает трансграничную постановку, но не доказывает наш конкретный прогнозный результат. Наши регрессии не разделяют эти структурные шоки.</w:t>
      </w:r>
    </w:p>
    <w:p>
      <w:r>
        <w:t>Гипотеза: широкий американский индикатор содержит информацию о фондировании и кредите, не полностью отражённую европейскими переменными. Альтернатива: европейские условия уже учитывают общий сигнал, а американский регрессор добавляет шум и нестабильность. Обе ситуации экономически возможны. Полученные результаты не позволяют выбрать конкретный причинный канал.</w:t>
      </w:r>
    </w:p>
    <w:p>
      <w:r>
        <w:t>Разбор 2020Q4 объясняет поведение модели: экстремальный лаг роста вызывает экстраполяцию, а добавление NFCI меняет также коэффициенты остальных переменных. Это самостоятельное диагностическое объяснение. Выдавать его за подтверждение международного кредитного канала нельзя.</w:t>
      </w:r>
    </w:p>
    <w:p>
      <w:pPr>
        <w:pStyle w:val="Heading1"/>
      </w:pPr>
      <w:r>
        <w:t>Сопоставимость данных</w:t>
      </w:r>
    </w:p>
    <w:p>
      <w:r>
        <w:t>Используемый CISS ЕЦБ имеет географический код U2 — меняющийся состав еврозоны, тогда как ВВП и ESI относятся к фиксированному EA20. В выполненном ранее на этом этапе запросе API по всем географиям SS_CIN на 1–2 декабря 2025 года получены 28 наблюдений по 14 кодам; отдельного EA20 в ответе не было. Это не доказывает его отсутствия во всех версиях базы. Исходный ответ того запроса не сохранился после перерыва; в архиве оставлена явно обозначенная запись результата проверки, а не реконструированный исходный CSV. Повторное открытие страницы ряда вернуло 503.</w:t>
      </w:r>
    </w:p>
    <w:p>
      <w:r>
        <w:t>Готовая замена выбранного CISS на фиксированный EA20 не подтверждена. Самостоятельное среднее страновых индексов не подходит: оно не воспроизводит системную агрегацию и создаёт другой показатель. Переименовывать U2 в EA20 нельзя.</w:t>
      </w:r>
    </w:p>
    <w:p>
      <w:r>
        <w:t>Решение — сохранить фиксированную целевую экономику EA20, а CISS использовать как показатель общеевропейской финансовой среды. Охват внешнего предиктора не обязан совпадать с охватом целевой переменной, но эффект расширения еврозоны здесь отдельно не оценён. Нельзя объявлять несовпадение численно несущественным без проверки. Оно остаётся раскрытым ограничением дизайна.</w:t>
      </w:r>
    </w:p>
    <w:p>
      <w:r>
        <w:t>Ряды до введения евро являются ретроспективными агрегатами. Историческая доступность современных CISS и NFCI не подтверждена. Семидневный запас финансовых наблюдений и первые два месяца ESI решают часть календарных проблем, но не пересмотры и не ретроспективное конструирование. Исследование остаётся псевдовневыборочным на пересмотренных данных; выводы относятся к прогнозным ассоциациям, а не к полностью историческому информационному набору.</w:t>
      </w:r>
    </w:p>
    <w:p>
      <w:pPr>
        <w:pStyle w:val="Heading1"/>
      </w:pPr>
      <w:r>
        <w:t>Достаточность статистических процедур</w:t>
      </w:r>
    </w:p>
    <w:p>
      <w:r>
        <w:t>Квантильная функция потерь соответствует оцениваемому квантилю. Её сравнение на одинаковых датах оставляем главным описательным результатом. Это не делает автоматически корректным любой тест значимости различий.</w:t>
      </w:r>
    </w:p>
    <w:p>
      <w:r>
        <w:t>BASE вложена в расширенные модели. S11 и S27 показывают, почему вложенность, пересмотры и схема оценивания важны для распределения статистик сравнения. Обычный тест Diebold–Mariano нельзя добавлять без проверки условий применимости. Текущие интервалы по фиксированным потерям сохраняются как диагностика чувствительности: модели внутри них не переоцениваются.</w:t>
      </w:r>
    </w:p>
    <w:p>
      <w:r>
        <w:t>Биномиальная проверка предполагает независимые нарушения с вероятностью 0,10. Перестановочная проверка соседних нарушений предполагает обменность их позиций при фиксированном числе. Обнаруженная группировка указывает на проблему простой нулевой модели, но не является полной проверкой динамической квантильной спецификации. Поправка Холма исправляет множественность выбранного семейства тестов, а не неверные предпосылки самих тестов.</w:t>
      </w:r>
    </w:p>
    <w:p>
      <w:r>
        <w:t>Дополнительно воспроизведён точный расчёт мощности биномиальной проверки при независимости. При 63 прогнозах и истинной вероятности нарушения 15% вместо 10% тест номинального уровня 5% обнаруживает отклонение лишь с вероятностью 22,9%; при вероятности 20% — с вероятностью 62,5%. Для 16 прогнозов эти значения равны 7,9% и 20,2%. Код power_check.py и результаты сохранены. Это иллюстрация по известному распределению, а не оценка фактической мощности наших обученных моделей. Зависимость и неопределённость параметров здесь не моделируются.</w:t>
      </w:r>
    </w:p>
    <w:p>
      <w:r>
        <w:t>Следовательно, неотклонение гипотезы нельзя выдавать за доказательство калибровки. Короткий период 2022–2025 годов не может стать единственным основанием выводов. Для горизонта четыре квартала обычная iid-проверка всей последовательности неприменима из-за перекрытия целей; четыре неперекрывающиеся фазы слишком коротки и зависимы между собой.</w:t>
      </w:r>
    </w:p>
    <w:p>
      <w:r>
        <w:t>Решение — ограничить статистические заявления наблюдаемыми результатами и их неустойчивостью. Полный wild-bootstrap тест S11 не реализован и не объявляется выполненным. Он потребуется, если целью станет формальное сравнение условного покрытия. Имеющихся процедур недостаточно для заявления о доказанном превосходстве, отсутствии эффекта либо пригодности системы раннего предупреждения.</w:t>
      </w:r>
    </w:p>
    <w:p>
      <w:pPr>
        <w:pStyle w:val="Heading1"/>
      </w:pPr>
      <w:r>
        <w:t>Решение по теме и оставшиеся ограничения</w:t>
      </w:r>
    </w:p>
    <w:p>
      <w:r>
        <w:t>Четыре проверки завершены. Самостоятельный вклад уточнён, экономическая постановка обоснована, несовпадение данных раскрыто, допустимые статистические выводы ограничены. Ни полная географическая согласованность, ни real-time дизайн, ни статистическое превосходство модели не достигнуты.</w:t>
      </w:r>
    </w:p>
    <w:p>
      <w:r>
        <w:t>Рекомендация — сохранять тему как сравнительное прикладное исследование. Основания для сильной бакалаврской работы есть: конкретный вопрос, литература, воспроизводимый расчёт и содержательное объяснение чувствительности результата. Гарантия отличной оценки из этого не следует. Если обязательны новый причинный механизм или доказанное превосходство прогноза, нынешний проект этим требованиям не соответствует.</w:t>
      </w:r>
    </w:p>
    <w:p>
      <w:r>
        <w:t>Протокол и результаты этапа 12 не менялись, новые модели не подбирались. Главы диплома не начаты. Для окончательного решения важно согласование именно этой постановки и её ограничений с руководителем. Дальнейший подбор моделей на той же выборке сам по себе не создаст убедительности.</w:t>
      </w:r>
    </w:p>
    <w:p>
      <w:pPr>
        <w:pStyle w:val="Heading1"/>
      </w:pPr>
      <w:r>
        <w:t>Источники и файлы</w:t>
      </w:r>
    </w:p>
    <w:p>
      <w:r>
        <w:t>Полные библиографические сведения и доступные тексты S02, S08, S11, S25, S26, S27, S30, S33, S34 находятся в catalog/registry.json и papers. Номера страниц выше — физические страницы PDF, включая обложки. Число научных работ в реестре — 34; доступных полных текстов — 28.</w:t>
      </w:r>
    </w:p>
    <w:p>
      <w:r>
        <w:rPr>
          <w:sz w:val="20"/>
        </w:rPr>
        <w:t>Chicago Fed, About the NFCI: https://www.chicagofed.org/research/data/nfci/about</w:t>
      </w:r>
    </w:p>
    <w:p>
      <w:r>
        <w:rPr>
          <w:sz w:val="20"/>
        </w:rPr>
        <w:t>ECB, используемый ряд: https://data.ecb.europa.eu/data/datasets/CISS/CISS.D.U2.Z0Z.4F.EC.SS_CIN.IDX</w:t>
      </w:r>
    </w:p>
    <w:p>
      <w:r>
        <w:rPr>
          <w:sz w:val="20"/>
        </w:rPr>
        <w:t>BSE, Backtesting global Growth-at-Risk: https://bse.eu/research/publications/backtesting-global-growth-risk</w:t>
      </w:r>
    </w:p>
    <w:p>
      <w:r>
        <w:rPr>
          <w:sz w:val="20"/>
        </w:rPr>
        <w:t>Corradi, Fosten, Gutknecht: https://doi.org/10.1016/j.jeconom.2023.105490</w:t>
      </w:r>
    </w:p>
    <w:p>
      <w:r>
        <w:t>Повторное обращение к официальным страницам сохранено в official_retrieval.json. Запись утраченного ответа API отдельно помечена как восстановленная из журнала работы. Это не замена первичным данным и не новый расчёт моделей.</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Проверка устойчивости и окончательный протокол</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