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Проверка данных и модели диплома</w:t>
      </w:r>
    </w:p>
    <w:p>
      <w:r>
        <w:t>Финансовые условия США в прогнозировании рисков роста еврозоны</w:t>
      </w:r>
    </w:p>
    <w:p>
      <w:r>
        <w:t>Записка для научного руководителя. Этап 11. 2 октября 2026 года.</w:t>
      </w:r>
    </w:p>
    <w:p>
      <w:r>
        <w:t>После обзора литературы я проверил календарь доступности данных и повторил прогнозный эксперимент с исправлением индикатора экономических настроений ESI. Тема остаётся реализуемой, но имеющиеся результаты пока не подтверждают устойчивого превосходства американских индикаторов над простым историческим прогнозом. Поэтому предлагаю исследовать границы их дополнительной прогнозной полезности, не закладывая положительный ответ заранее.</w:t>
      </w:r>
    </w:p>
    <w:p>
      <w:pPr>
        <w:pStyle w:val="Heading1"/>
      </w:pPr>
      <w:r>
        <w:t>Исследовательский вопрос и самостоятельный вклад</w:t>
      </w:r>
    </w:p>
    <w:p>
      <w:r>
        <w:t>Основной вопрос: улучшает ли добавление финансовых условий США прогноз нижнего 10-процентного квантиля роста реального ВВП еврозоны на один квартал вперёд, если базовая модель уже учитывает прошлый рост, европейский финансовый стресс и экономические настроения? Дополнительный вопрос: различается ли результат для NFCI и американского CISS при одинаковых данных, датах прогнозирования и правилах оценки?</w:t>
      </w:r>
    </w:p>
    <w:p>
      <w:r>
        <w:t>Предполагаемый механизм состоит в том, что условия фондирования и склонность к риску в США связаны с глобальной стоимостью капитала, трансграничными потоками и европейской экономической активностью. NFCI характеризует широкий набор финансовых условий; CISS ориентирован на системный стресс. Это позволяет содержательно сравнивать индикаторы. Однако прогнозный эксперимент не идентифицирует причинное воздействие США и не разделяет общий мировой шок и собственно американский канал.</w:t>
      </w:r>
    </w:p>
    <w:p>
      <w:r>
        <w:t>Не претендую на создание нового метода. В обзоре 34 работ обнаружен близкий подход, сочетающий внутренний стресс, NFCI США, ожидания и лаги ВВП для Германии. Мой прикладной вклад — сопоставление двух американских индикаторов для агрегата еврозоны, единый прогнозный протокол и проверка чувствительности выводов к доступности данных и отдельным наблюдениям. В архиве сохранены 28 полных текстов; шесть карточек основаны на доступных аннотациях и требуют дополнения. Наличие карточки не означает независимой репликации статьи.</w:t>
      </w:r>
    </w:p>
    <w:p>
      <w:pPr>
        <w:pStyle w:val="Heading1"/>
      </w:pPr>
      <w:r>
        <w:t>Что обнаружено в прежнем расчёте</w:t>
      </w:r>
    </w:p>
    <w:p>
      <w:r>
        <w:t>Предыдущий код усреднял ESI по всем трём месяцам квартала и использовал это значение на последний день квартала. Для декабря это некорректно: полный ESI за декабрь 2020 года опубликован 7 января 2021 года; за декабрь 2024 года — 8 января 2025 года [1]. Предварительный индекс потребительской уверенности, выходящий раньше, не является полным ESI. Следовательно, декабрьский ESI нельзя включать в прогноз, датированный 31 декабря.</w:t>
      </w:r>
    </w:p>
    <w:p>
      <w:r>
        <w:t>Я зафиксировал два исправления до запуска новых оценок. Основной консервативный вариант использует среднее первых двух месяцев каждого квартала. Диагностический вариант сохраняет прежнее усреднение, но исключает декабрь. Последний изолирует найденную ошибку, однако не заменяет полного исторического календаря публикаций. Старый вариант сохранён только для воспроизведения и измерения изменения результатов.</w:t>
      </w:r>
    </w:p>
    <w:p>
      <w:r>
        <w:t>Правило первых двух месяцев оставляет запас до даты прогноза и устраняет установленную проблему декабря, но не означает полной сертификации исторической доступности: все ежемесячные даты за 1995–2025 годы не восстановлены. Кроме того, в обоих вариантах используются пересмотренные значения текущих выгрузок. Исправление календаря не устраняет влияние последующих пересмотров.</w:t>
      </w:r>
    </w:p>
    <w:p>
      <w:pPr>
        <w:pStyle w:val="Heading1"/>
      </w:pPr>
      <w:r>
        <w:t>Данные и ограничения доступа</w:t>
      </w:r>
    </w:p>
    <w:p>
      <w:r>
        <w:t>Расчёт сохраняет прежний интервал 1995Q1–2025Q4: 124 квартала и 372 месячных наблюдения ESI. Новые значения макроэкономических рядов на этом этапе не подгружались, чтобы изменение результатов отражало только правило агрегации ESI. В архиве находятся исходные выгрузки, код и результаты.</w:t>
      </w:r>
    </w:p>
    <w:p>
      <w:r>
        <w:t>ВВП: реальный ВВП еврозоны из прежней выгрузки Eurostat для фиксированного состава EA20. Используется логарифмический темп роста. Для регрессора применяется рост за квартал t−1; текущий ВВП за t в признаки не включается. Обучающая выборка допускает только такие целевые интервалы, которые заканчиваются не позднее t−1. Это ограничение реализовано в коде, но фактическая дата каждого исторического релиза ВВП отдельно не сверена. Eurostat публикует таблицы пересмотров; разные составы еврозоны и смена методологии требуют согласования при восстановлении винтажей [5].</w:t>
      </w:r>
    </w:p>
    <w:p>
      <w:r>
        <w:t>ESI: Eurostat, ei_bssi_m_r2, geo=EA20, indic=BS-ESI-I, freq=M, s_adj=SA. Используется сезонно скорректированный ряд; в JSON указано обновление 29 сентября 2026 года. В выбранных 372 месяцах пропусков нет. Основной вариант берёт январь–февраль, апрель–май, июль–август и октябрь–ноябрь. Полные JSON и месячный ряд сохранены. Публикация исходных результатов и последующее сезонное уточнение ряда — разные вопросы.</w:t>
      </w:r>
    </w:p>
    <w:p>
      <w:r>
        <w:t>CISS: ежедневные ряды ЕЦБ CISS.D.U2.Z0Z.4F.EC.SS_CIN.IDX и CISS.D.US.Z0Z.4F.EC.SS_CIN.IDX. В основной спецификации наблюдение допускается после семи календарных дней, затем считается среднее доступных наблюдений текущего квартала. Официальное описание New CISS указывает ежедневное обновление за предыдущий день [4]. Семь дней — исследовательский запас, а не восстановленный календарь. Ряд U2 имеет меняющийся состав еврозоны, тогда как ВВП и ESI относятся к EA20. Историческая доступность самой современной версии индекса также не доказана; наличие ретроспективного ряда не означает его наличие у прогнозиста в прошлом.</w:t>
      </w:r>
    </w:p>
    <w:p>
      <w:r>
        <w:t>NFCI: Chicago Fed через FRED, недельный ряд NFCI. Обычная публикация — среда в 8:30 по восточному времени США, за неделю по предыдущую пятницу; праздничные недели могут сдвигать выпуск [3]. В коде сохранён семидневный запас. Chicago Fed прямо указывает, что история индекса пересматривается, поэтому текущая выгрузка не является архивом исторических информационных наборов. Доступ к винтажам нужно проверять отдельно, в том числе через ALFRED [6].</w:t>
      </w:r>
    </w:p>
    <w:p>
      <w:r>
        <w:t>Итог по доступности: данных достаточно для воспроизводимого псевдовневыборочного эксперимента на пересмотренных рядах. Полностью реалистичный исторический эксперимент в реальном времени пока не построен. Эти два уровня проверки необходимо прямо различать в дипломе.</w:t>
      </w:r>
    </w:p>
    <w:p>
      <w:pPr>
        <w:pStyle w:val="Heading1"/>
      </w:pPr>
      <w:r>
        <w:t>Зафиксированная модель</w:t>
      </w:r>
    </w:p>
    <w:p>
      <w:r>
        <w:t>Целевая переменная задаётся как y(t,h) = (400/h) × ln[GDP(t+h)/GDP(t)], где h равен одному или четырём кварталам. Это годовой эквивалент непрерывно начисляемого темпа роста, в процентах. Основной горизонт — один квартал; четыре квартала используются как дополнительная проверка. Оценивается условный квантиль уровня 0,10.</w:t>
      </w:r>
    </w:p>
    <w:p>
      <w:r>
        <w:t>Базовая линейная квантильная регрессия включает константу, рост ВВП за t−1, доступный CISS еврозоны за t и ESI первых двух месяцев квартала t. Две расширенные модели отдельно добавляют CISS США или NFCI США. Одновременное включение обоих американских индикаторов на этом этапе не проводится. Исторический безусловный квантиль и модель только с лагом роста служат дополнительными ориентирами.</w:t>
      </w:r>
    </w:p>
    <w:p>
      <w:r>
        <w:t>Обучение идёт в расширяющемся окне. Первый прогноз относится к 2010Q1. Для горизонта h обучающее наблюдение s допускается, только если s+h не позднее t−1. Стандартизация регрессоров вычисляется внутри обучающего окна. Все модели сравниваются на одинаковых датах: 63 прогноза для h=1 и 60 для h=4. Исходный ВВП в знаменателе будущего целевого роста используется при последующей оценке результата, а не как известный текущий регрессор.</w:t>
      </w:r>
    </w:p>
    <w:p>
      <w:r>
        <w:t>Основная мера качества — средняя квантильная функция потерь: rho(u)=max(0,1u; −0,9u), где u — фактическое значение минус прогноз. Меньшее значение лучше. Отношение потерь модели к потерям ориентира ниже единицы означает улучшение. Дополнительно оцениваются частота попадания фактического роста ниже прогнозного квантиля и влияние отдельных дат.</w:t>
      </w:r>
    </w:p>
    <w:p>
      <w:pPr>
        <w:pStyle w:val="Heading1"/>
      </w:pPr>
      <w:r>
        <w:t>Результаты пересчёта</w:t>
      </w:r>
    </w:p>
    <w:p>
      <w:r>
        <w:t>На горизонте одного квартала основной вариант первых двух месяцев даёт средние потери 1,2119 для исторического квантиля, 1,8294 для модели с лагом роста, 1,6970 для базовой модели, 1,6810 при добавлении CISS США и 1,4541 при добавлении NFCI. Значения рассчитаны на одних и тех же 63 датах.</w:t>
      </w:r>
    </w:p>
    <w:p>
      <w:r>
        <w:t>NFCI улучшает базовую модель на 14,31%, но имеет потери на 19,99% выше исторического квантиля. CISS США улучшает базовую модель лишь на 0,94%. Для NFCI фактический рост оказывается ниже прогнозируемого 10-процентного квантиля в 15,87% случаев, для исторического квантиля — в 11,11%. Это описательные частоты на коротком интервале, а не формальная проверка калибровки.</w:t>
      </w:r>
    </w:p>
    <w:p>
      <w:r>
        <w:t>В старом варианте с полным кварталом ESI NFCI улучшал базовую модель на 24,94% и проигрывал историческому прогнозу на 5,09%. При исключении только декабря соответствующие показатели составляют 25,23% и 4,51%. Следовательно, одна декабрьская ошибка не объясняет прежний результат. Более заметное изменение при первых двух месяцах отражает одновременно исправление ошибки и изменение состава информации в остальных кварталах; приписывать его целиком устранению утечки нельзя.</w:t>
      </w:r>
    </w:p>
    <w:p>
      <w:r>
        <w:t>На горизонте четырёх кварталов основной исправленный вариант даёт потери 0,6984 для исторического квантиля, 0,7134 для базовой модели, 0,9401 с CISS США и 0,9343 с NFCI. Оба американских индикатора ухудшают базовую модель примерно на 31–32%. Перекрывающиеся целевые интервалы ограничивают эффективный объём независимой информации.</w:t>
      </w:r>
    </w:p>
    <w:p>
      <w:r>
        <w:t>Выигрыш NFCI относительно базовой модели для h=1 остаётся концентрированным: прогноз из 2020Q4 объясняет 74,57% суммарного чистого снижения потерь. Если убрать только эту дату из оценки качества, улучшение сокращается до 4,76%. Это диагностика влияния, а не переобучение без пандемии и не основание удалять неудобное наблюдение из основной выборки.</w:t>
      </w:r>
    </w:p>
    <w:p>
      <w:r>
        <w:t>Описательный 95-процентный интервал отношения потерь NFCI к базовой модели составляет 0,627–1,007 при блоке длиной четыре квартала и 0,638–0,996 при блоке восемь. Интервалы получены повторной выборкой уже рассчитанных парных потерь, без переоценивания модели. Разница в пересечении единицы показывает чувствительность вывода к настройке; утверждение об устойчивой статистической значимости было бы преждевременным. Веса, период и спецификация не выбирались по этим интервалам.</w:t>
      </w:r>
    </w:p>
    <w:p>
      <w:pPr>
        <w:pStyle w:val="Heading1"/>
      </w:pPr>
      <w:r>
        <w:t>Проверка кода и границы выводов</w:t>
      </w:r>
    </w:p>
    <w:p>
      <w:r>
        <w:t>Повторный запуск старого варианта воспроизвёл сохранённые прогнозы с допуском 10⁻⁷. Проверены общие даты сравнения и ограничение конца обучающих целевых интервалов. Все задачи квантильной регрессии решены; в сохранённых контрольных точках сопоставлены два алгоритма линейного программирования.</w:t>
      </w:r>
    </w:p>
    <w:p>
      <w:r>
        <w:t>Добавлена направленная проверка ошибки: декабрьский ESI искусственно увеличивается на 1000 пунктов для прогнозов из 2010Q4, 2020Q4 и 2024Q4. Старый вариант меняет прогноз, оба исправленных — нет. Изменение будущих ESI после 2020Q4 также не меняет проверяемый прогноз. Это проверяет конкретный путь попадания недоступной информации; тест не доказывает отсутствие всех возможных ошибок и не восстанавливает винтажи.</w:t>
      </w:r>
    </w:p>
    <w:p>
      <w:r>
        <w:t>Период 2022–2025 годов можно использовать как содержательно актуальную дополнительную оценку, связанную с изменением финансовых условий. Его нельзя делать единственной основой оценки 10-процентного квантиля: там всего 16 прогнозов для h=1 и 13 целиком попадающих в период интервалов для h=4. Пандемия остаётся частью длинной исторической выборки и проверкой влияния, но не центром темы.</w:t>
      </w:r>
    </w:p>
    <w:p>
      <w:pPr>
        <w:pStyle w:val="Heading1"/>
      </w:pPr>
      <w:r>
        <w:t>Как это войдёт в диплом</w:t>
      </w:r>
    </w:p>
    <w:p>
      <w:r>
        <w:t>Во введении сформулирую вопрос, цель, гипотезы, данные, методы и ограниченный прикладной вклад. В первой, теоретической главе разберу международную передачу финансовых условий, различия NFCI и CISS, Growth at Risk и результаты близких исследований.</w:t>
      </w:r>
    </w:p>
    <w:p>
      <w:r>
        <w:t>Во второй, практической главе опишу формирование информационного набора, календарь публикаций, модели и последовательную вневыборочную оценку. Затем представлю результаты для обоих горизонтов, сравнение с простыми ориентирами и проверки устойчивости. Ошибка календаря и её исправление будут отражены прозрачно, без сохранения старого варианта в качестве основной модели.</w:t>
      </w:r>
    </w:p>
    <w:p>
      <w:r>
        <w:t>Третья глава будет рекомендательной: условия применения американских индикаторов в мониторинге рисков еврозоны, выбор доступной на дату прогноза информации, контроль калибровки и ограничения раннего предупреждения. Рекомендации будут зависеть от результатов; нынешних оценок недостаточно, чтобы рекомендовать NFCI как самостоятельный надёжный инструмент или обосновывать им решения денежно-кредитной политики.</w:t>
      </w:r>
    </w:p>
    <w:p>
      <w:r>
        <w:t>Заключение ответит на исследовательские вопросы, включая возможный отрицательный результат. Список источников объединит проверенную научную литературу и официальную документацию данных. В приложении размещу определения рядов, алгоритм формирования выборки, код, календарные проверки и дополнительные оценки.</w:t>
      </w:r>
    </w:p>
    <w:p>
      <w:pPr>
        <w:pStyle w:val="Heading1"/>
      </w:pPr>
      <w:r>
        <w:t>Завершённый этап и следующий шаг</w:t>
      </w:r>
    </w:p>
    <w:p>
      <w:r>
        <w:t>На этом этапе завершены аудит прежней агрегации ESI, два ограниченных пересчёта, направленные проверки кода и сохранение официальных источников. Полный исторический календарь, винтажи всех рядов и причинная идентификация не выполнены. Переход к окончательному тексту эмпирической главы пока преждевременен.</w:t>
      </w:r>
    </w:p>
    <w:p>
      <w:r>
        <w:t>Следующим шагом предлагаю заранее ограниченную проверку устойчивости исправленного протокола: сопоставить основной лаг роста t−1 с t−2 и оценить влияние экстремальных пандемийных значений без подбора удобного периода. Во всех вариантах нужно сохранить исторический квантиль как обязательный ориентир и показать все результаты. Параллельно следует решить с руководителем, достаточно ли честно обозначенного псевдовневыборочного дизайна или требуется отдельная работа с винтажами. Повышать сложность модели ради получения положительного эффекта не планирую.</w:t>
      </w:r>
    </w:p>
    <w:p>
      <w:pPr>
        <w:pStyle w:val="Heading1"/>
      </w:pPr>
      <w:r>
        <w:t>Официальные источники проверки</w:t>
      </w:r>
    </w:p>
    <w:p>
      <w:r>
        <w:rPr>
          <w:sz w:val="20"/>
        </w:rPr>
        <w:t>[1] European Commission. Business and consumer surveys. Press releases. Даты релизов ESI, включая декабрь 2020 и 2024 годов. https://economy-finance.ec.europa.eu/economic-forecast-and-surveys/business-and-consumer-surveys/download-business-and-consumer-survey-data/press-releases_en</w:t>
      </w:r>
    </w:p>
    <w:p>
      <w:r>
        <w:rPr>
          <w:sz w:val="20"/>
        </w:rPr>
        <w:t>[2] European Commission. Business and Consumer Surveys. Archive of publications. https://ec.europa.eu/economy_finance/db_indicators/surveys/archive_publications/index_en.htm</w:t>
      </w:r>
    </w:p>
    <w:p>
      <w:r>
        <w:rPr>
          <w:sz w:val="20"/>
        </w:rPr>
        <w:t>[3] Federal Reserve Bank of Chicago. National Financial Conditions Index FAQs. Разделы о публикациях и пересмотрах. https://www.chicagofed.org/-/media/publications/nfci/nfci-faqs-pdf.pdf</w:t>
      </w:r>
    </w:p>
    <w:p>
      <w:r>
        <w:rPr>
          <w:sz w:val="20"/>
        </w:rPr>
        <w:t>[4] European Central Bank. CISS dataset information. https://data.ecb.europa.eu/data/datasets/CISS/data-information</w:t>
      </w:r>
    </w:p>
    <w:p>
      <w:r>
        <w:rPr>
          <w:sz w:val="20"/>
        </w:rPr>
        <w:t>[5] Eurostat. National accounts. Data revisions. https://ec.europa.eu/eurostat/web/national-accounts/database/data-revisions</w:t>
      </w:r>
    </w:p>
    <w:p>
      <w:r>
        <w:rPr>
          <w:sz w:val="20"/>
        </w:rPr>
        <w:t>[6] ALFRED. Chicago Fed National Financial Conditions Index. Точка доступа к историческим версиям; винтажи в текущем расчёте не использованы. https://alfred.stlouisfed.org/series?seid=NFCI</w:t>
      </w:r>
    </w:p>
    <w:p>
      <w:r>
        <w:t>Источники [1]–[5] сохранены локально 2 октября 2026 года. Адрес [6] дан как направление следующей проверки. Полный реестр научных работ и карточки обзора находятся в папках catalog и review. Численные результаты записки получены собственным повторным расчётом; файлы forecasts.csv, scores.csv, comparisons.csv, influence.csv и calendar_validation.json находятся в audit/model/results.</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Проверка данных и модели диплома</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