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Глава 1 Теоретические основы международной передачи финансовых условий и прогнозирования рисков роста</w:t>
      </w:r>
    </w:p>
    <w:p>
      <w:pPr>
        <w:pStyle w:val="Heading2"/>
      </w:pPr>
      <w:r>
        <w:t>1.1 Финансовые условия и роль США в международной финансовой системе</w:t>
      </w:r>
    </w:p>
    <w:p>
      <w:r>
        <w:t>Финансовые условия характеризуют среду, в которой фирмы, домохозяйства и государство привлекают средства, размещают сбережения и принимают инвестиционные решения. Они складываются из стоимости и доступности кредита, процентных ставок, премий за риск, цен активов и состояния финансовых посредников. Изменение этой среды способно отражаться на выпуске ещё до того, как оно полностью проявится в макроэкономической статистике. Поэтому финансовые показатели представляют интерес одновременно для анализа делового цикла и для оценки неблагоприятных сценариев экономического роста. В работе J. Hatzius и соавторов финансовые условия рассматриваются как состояние финансовых переменных, влияющих на поведение экономических агентов и будущую динамику экономики. Такой подход предполагает использование как рыночных цен, так и количественных показателей и обследований доступности финансирования.</w:t>
      </w:r>
      <w:r>
        <w:footnoteReference w:id="1"/>
      </w:r>
    </w:p>
    <w:p>
      <w:r>
        <w:t>Содержание финансовых условий шире текущего уровня ключевой ставки. Даже при неизменной ставке центрального банка стоимость привлечения средств для заёмщика может увеличиться вследствие роста кредитной премии, ухудшения качества обеспечения или ужесточения требований банка. Напротив, повышение ставки не обязательно сопровождается одинаковым ужесточением всех условий финансирования: ожидания будущего смягчения политики, рост стоимости активов или снижение премий за риск могут частично компенсировать её изменение. Следовательно, для оценки финансовой среды необходимо учитывать несколько взаимосвязанных сегментов рынка. В исследовании S. Brave и R. A. Butters подчёркивается значение охвата традиционного банковского сектора, рыночного финансирования и новых финансовых инструментов при построении обобщающих индексов.</w:t>
      </w:r>
      <w:r>
        <w:footnoteReference w:id="2"/>
      </w:r>
    </w:p>
    <w:p>
      <w:r>
        <w:t>Экономическое значение отдельных показателей также различается. Доходности облигаций отражают стоимость заимствований на финансовом рынке, кредитные спреды — дополнительную компенсацию за риск по сравнению с выбранным ориентиром, а результаты банковских обследований позволяют судить об условиях предоставления кредита. Стоимость акций и недвижимости влияет на богатство и обеспечение заёмщиков. Объёмы кредитования показывают фактическое движение средств, хотя зависят одновременно от предложения кредита и спроса на него. Поэтому снижение кредитной активности нельзя автоматически приписывать ограничениям со стороны банков. Совместное рассмотрение ценовых, количественных и опросных показателей помогает полнее описать условия финансирования, сохраняя необходимость экономической интерпретации каждого из них.</w:t>
      </w:r>
    </w:p>
    <w:p>
      <w:r>
        <w:t>Наряду с финансовыми условиями в литературе используется понятие финансового стресса. Финансовые условия описывают более широкий диапазон состояний, включая периоды относительно дешёвого и доступного финансирования. Стресс характеризует напряжённость в функционировании финансовой системы. При этом финансовые уязвимости могут накапливаться и в спокойный период, когда волатильность низка, а кредитование быстро растёт. S. Brave и R. A. Butters показывают, что показатели риска, кредита и финансового рычага содержат различающуюся информацию о текущей напряжённости и будущих дисбалансах. Для исследования рисков роста это означает, что близкие по названию финансовые индексы могут измерять разные состояния и иметь различную информативность на разных горизонтах.</w:t>
      </w:r>
      <w:r>
        <w:footnoteReference w:id="3"/>
      </w:r>
    </w:p>
    <w:p>
      <w:r>
        <w:t>Индексы финансовых условий позволяют свести большое число наблюдаемых переменных к одному обобщающему показателю. В литературе применяются простые и взвешенные средние, метод главных компонент и динамические факторные модели. Однако статистический способ агрегирования сам по себе не гарантирует наилучшего экономического результата. S. Arrigoni, A. Bobasu и F. Venditti на данных развитых и развивающихся экономик показывают, что простые комбинации показателей способны конкурировать с более сложными индексами и превосходить их по отдельным критериям. Следовательно, индекс следует оценивать с учётом конкретной задачи: мониторинга финансовой напряжённости, прогнозирования активности или измерения рисков её снижения.</w:t>
      </w:r>
      <w:r>
        <w:footnoteReference w:id="4"/>
      </w:r>
    </w:p>
    <w:p>
      <w:r>
        <w:t>Отдельный подход представлен индексом системного финансового стресса CISS, разработанным D. Holló, M. Kremer и M. Lo Duca. Его особенность заключается в учёте меняющихся взаимных корреляций между сегментами финансового рынка. Одновременная напряжённость в нескольких сегментах получает больший вес, поскольку соответствует более широкому распространению финансовых нарушений. Тем самым CISS учитывает системный характер стресса. В дальнейшем S. Chavleishvili и M. Kremer предложили обновлённую ежедневную конструкцию для еврозоны и США и исследовали её связь с рисками роста. Эти работы показывают, почему при выборе индикатора существенны и состав исходных переменных, и правило их объединения.</w:t>
      </w:r>
      <w:r>
        <w:footnoteReference w:id="5"/>
      </w:r>
    </w:p>
    <w:p>
      <w:r>
        <w:t>В настоящем исследовании основное внимание уделяется американскому National Financial Conditions Index, или NFCI, и его скорректированному варианту ANFCI. NFCI, публикуемый Федеральным резервным банком Чикаго, объединяет информацию о риске, кредите и финансовом рычаге. Его положительные значения соответствуют более жёстким финансовым условиям относительно исторической нормы, отрицательные — более мягким. Значение индекса представляет собой стандартизированную характеристику финансовой среды. Поэтому его нельзя непосредственно читать как процентное изменение стоимости кредита или вероятность финансового кризиса.</w:t>
      </w:r>
      <w:r>
        <w:footnoteReference w:id="6"/>
      </w:r>
    </w:p>
    <w:p>
      <w:r>
        <w:t>ANFCI учитывает обычную связь финансовых показателей с экономической активностью и инфляцией США. Положительное значение указывает на условия, более жёсткие, чем можно было бы ожидать при соответствующем макроэкономическом состоянии. В методическом обновлении 2017 года S. Brave и D. Kelley изменили процедуру оценивания и расширили набор корректирующих переменных. Различия NFCI и ANFCI связаны также с весами финансовых показателей. Поэтому разность индексов не является точной оценкой отдельной макроэкономической компоненты, а ANFCI не представляет собой идентифицированный финансовый шок.</w:t>
      </w:r>
      <w:r>
        <w:footnoteReference w:id="7"/>
      </w:r>
    </w:p>
    <w:p>
      <w:r>
        <w:t>Сопоставление двух индексов позволяет содержательно уточнить прогнозную задачу. NFCI может отражать как финансовую напряжённость, так и информацию о состоянии американской экономики, которая связана с динамикой еврозоны. Корректировка в ANFCI изменяет это сочетание информации. Если результаты прогнозирования различаются, возникает вопрос о том, насколько для нижнего риска роста важны финансовые условия вместе с их обычной макроэкономической составляющей. При этом заранее определить превосходящий индекс нельзя: корректировка способна как уменьшить дублирование уже учтённой информации, так и убрать полезный для международного прогноза сигнал.</w:t>
      </w:r>
    </w:p>
    <w:p>
      <w:r>
        <w:t>Важность экономического содержания индекса подтверждается и новыми подходами к его построению. T. Bletzinger, G. Martorana и J. Mistak в работе ЕЦБ 2026 года оценивают индекс финансовых условий еврозоны совместно с параметрами макрофинансовой VAR. В отличие от отдельного извлечения финансового фактора, такой подход учитывает взаимную динамику финансовых и макроэкономических переменных в одной модели. Для настоящей работы этот результат важен как свидетельство зависимости измерения финансовых условий от исследовательской задачи. Существующий индекс нельзя считать универсальной характеристикой, одинаково полезной для любого макроэкономического показателя и горизонта.</w:t>
      </w:r>
      <w:r>
        <w:footnoteReference w:id="8"/>
      </w:r>
    </w:p>
    <w:p>
      <w:r>
        <w:t>Международное значение американских финансовых условий связано с положением США в мировой финансовой системе. Доллар используется в трансграничном финансировании, американские рынки участвуют в формировании глобальных цен активов, а международные посредники перераспределяют средства между странами. Поэтому изменение отношения к риску и условий привлечения капитала в США может сопровождаться изменениями финансовой среды за пределами американской экономики. S. Miranda-Agrippino и H. Rey связывают глобальный финансовый цикл с совместным движением рискованных активов, кредитования и международных потоков капитала. Их результаты обосновывают необходимость учитывать внешнюю финансовую информацию при анализе открытых экономик.</w:t>
      </w:r>
      <w:r>
        <w:footnoteReference w:id="9"/>
      </w:r>
    </w:p>
    <w:p>
      <w:r>
        <w:t>Для еврозоны эта взаимосвязь сочетается с собственными особенностями финансовой системы и денежно-кредитной политики. Как отмечают M. M. Habib и F. Venditti, финансовая напряжённость в США и еврозоне часто изменяется согласованно, однако более широкие финансовые условия способны расходиться. Поэтому наличие глобального финансового цикла не означает полного совпадения национальных и региональных траекторий. Уже T. Matheson при построении индексов для США и еврозоны рассматривал их как инструменты обобщения финансовой информации и прогнозирования активности. В настоящей работе международная постановка состоит в проверке того, содержит ли американский индекс полезную информацию после учёта наблюдаемого состояния экономики еврозоны.</w:t>
      </w:r>
      <w:r>
        <w:footnoteReference w:id="10"/>
      </w:r>
    </w:p>
    <w:p>
      <w:pPr>
        <w:pStyle w:val="Heading2"/>
      </w:pPr>
      <w:r>
        <w:t>1.2 Каналы связи финансовых условий США с экономикой еврозоны</w:t>
      </w:r>
    </w:p>
    <w:p>
      <w:r>
        <w:t>Связь финансовых условий США с рисками роста еврозоны может возникать через несколько взаимодополняющих механизмов. Первый относится к трансграничной деятельности банков и стоимости фондирования. Второй связан с международными инвестиционными портфелями и ценами активов. Третий проявляется через балансы заёмщиков и стоимость внешнего финансирования. Кроме того, американские финансовые показатели могут отражать общие ожидания относительно мировой экономики. Эти механизмы дают экономическое основание для включения индекса США в прогнозную модель, но требуют различать передачу внешнего воздействия и совместную реакцию двух регионов на общую информацию.</w:t>
      </w:r>
    </w:p>
    <w:p>
      <w:r>
        <w:t>В банковском канале существенна способность финансовых посредников привлекать средства и поддерживать кредитование. Банк, использующий международные рынки фондирования, зависит от условий, которые не ограничиваются экономикой страны его размещения. Увеличение стоимости привлечения средств или сокращение доступного фондирования способно привести к пересмотру кредитных лимитов, требований к заёмщикам и структуры активов. При прочих равных условиях это ограничивает финансирование инвестиционных проектов и оборотного капитала. Поэтому внешняя финансовая напряжённость может передаваться в реальный сектор даже без непосредственного изменения ставки ЕЦБ.</w:t>
      </w:r>
    </w:p>
    <w:p>
      <w:r>
        <w:t>V. Bruno и H. S. Shin объясняют международное движение банковского капитала через взаимодействие глобальных и местных банков. В их модели важную роль играет цикл финансового рычага: изменение способности глобальных банков расширять баланс влияет на объём средств, поступающих другим посредникам и заёмщикам. Эмпирическая часть на панели из 46 стран поддерживает основные предсказания предложенного механизма. Данная работа обращает внимание и на валовые потоки капитала. Увеличение взаимных зарубежных активов и обязательств может усиливать финансовые связи, даже если итоговая чистая внешняя позиция меняется слабо.</w:t>
      </w:r>
      <w:r>
        <w:footnoteReference w:id="11"/>
      </w:r>
    </w:p>
    <w:p>
      <w:r>
        <w:t>Для еврозоны банковский канал особенно содержателен в связи с ролью банковского финансирования фирм. Вместе с тем американский NFCI не измеряет непосредственно долларовые обязательства европейских банков или предложение кредита европейским предприятиям. Он обобщает состояние финансовой среды США. Поэтому его включение в уравнение роста еврозоны позволяет проверить наличие прогнозного сигнала, согласующегося с банковским механизмом. Для отдельного измерения этого механизма потребовались бы данные о международных балансах и потоках, а также соответствующая идентификационная стратегия. Эти задачи выходят за пределы используемой одноуравневой прогнозной модели.</w:t>
      </w:r>
    </w:p>
    <w:p>
      <w:r>
        <w:t>Портфельный канал связан с решениями международных инвесторов о распределении активов между странами и сегментами рынка. Изменение доходностей, премий за риск и воспринимаемой неопределённости в США влияет на относительную привлекательность европейских облигаций и акций. Перераспределение портфелей отражается на ценах активов и требуемой доходности, а через них — на условиях привлечения средств европейскими компаниями. В периоды напряжённости пересмотр портфелей может сопровождаться повышенным спросом на ликвидность и сокращением вложений в рискованные инструменты. Сила такой реакции зависит от структуры инвесторов и характера исходного изменения финансовых условий.</w:t>
      </w:r>
    </w:p>
    <w:p>
      <w:r>
        <w:t>Эмпирическое подтверждение роли небанковских посредников представлено в работе C. Kaufmann. Автор исследует международные инвестиционные фонды и показывает, что смягчение американской денежно-кредитной политики сопровождается притоком средств в акции и долговые инструменты. Для еврозоны эти потоки связаны с более благоприятными условиями финансирования и ростом выпуска ценных бумаг нефинансовыми корпорациями. Исследование рассматривает период 2007–2019 годов и использует структурную байесовскую VAR. Его значение для настоящей темы состоит в раскрытии конкретной связи между глобальной ликвидностью, портфельными потоками и финансированием европейских фирм. При этом выводы о реакции на смягчение нельзя механически переносить на любой эпизод ужесточения.</w:t>
      </w:r>
      <w:r>
        <w:footnoteReference w:id="12"/>
      </w:r>
    </w:p>
    <w:p>
      <w:r>
        <w:t>Следующий механизм относится к финансовым балансам заёмщиков. В модели финансового акселератора B. Bernanke, M. Gertler и S. Gilchrist несовершенства кредитного рынка усиливают первоначальные колебания экономики. Ухудшение финансового положения фирмы увеличивает премию за внешнее финансирование, ограничивает инвестиции и способно дополнительно ослаблять её баланс. Применительно к международной связи это означает, что внешняя переоценка риска может усиливаться внутри экономики заёмщика. Снижение цен активов и стоимости обеспечения затрудняет получение средств, а сокращение расходов воздействует на выпуск и доходы. Следовательно, одинаковое первоначальное изменение финансовой среды способно иметь неодинаковые последствия при разных состояниях балансов.</w:t>
      </w:r>
      <w:r>
        <w:footnoteReference w:id="13"/>
      </w:r>
    </w:p>
    <w:p>
      <w:r>
        <w:t>Финансовый акселератор помогает объяснить интерес именно к нижней части распределения роста. При устойчивых балансах и достаточной ликвидности ухудшение внешних условий может быть поглощено без значительного сокращения расходов. При высокой долговой нагрузке, необходимости рефинансирования и ограниченных резервах ликвидности аналогичное изменение способно привести к более сильному сжатию инвестиций и производства. Это создаёт основание ожидать, что финансовая информация будет связана с неблагоприятными исходами роста иначе, чем с его центральной траекторией. Однако наличие такого механизма в теории не задаёт заранее ни величину коэффициента, ни качество конкретного прогноза.</w:t>
      </w:r>
    </w:p>
    <w:p>
      <w:r>
        <w:t>Литература о глобальном финансовом цикле дополняет перечисленные каналы ролью общей готовности инвесторов принимать риск. S. Miranda-Agrippino и H. Rey показывают, что ужесточение американской денежно-кредитной политики связано с сокращением финансового рычага посредников, международных кредитных потоков и кредитования. Переток информации и капитала поэтому способен синхронизировать финансовые изменения в разных странах. Для нашего исследования существенна граница между этим результатом и интерпретацией индекса: NFCI содержит смесь финансовых состояний и реакций на экономические новости, а не только неожиданные решения ФРС. Коэффициент при NFCI не может быть истолкован как эффект денежного шока, оценённый в структурной работе.</w:t>
      </w:r>
      <w:r>
        <w:footnoteReference w:id="14"/>
      </w:r>
    </w:p>
    <w:p>
      <w:r>
        <w:t>Прямая литература о международном финансовом стрессе также указывает на различия между состояниями экономики. J. Dovern и B. van Roye в глобальной VAR для 20 стран находят быструю международную передачу стресса и более запаздывающую отрицательную реакцию экономической активности. S. Dajčman и соавторы на данных США и еврозоны показывают, что последствия американского стресса для европейской экономики зависят от фазы цикла и оказываются сильнее в рецессионном режиме. Эти результаты поддерживают раздельное рассмотрение финансовой реакции и последующей динамики выпуска, а также необходимость проверки устойчивости связей во времени.</w:t>
      </w:r>
      <w:r>
        <w:footnoteReference w:id="15"/>
      </w:r>
    </w:p>
    <w:p>
      <w:r>
        <w:t>При этом международная передача не сводится к постоянной односторонней зависимости. B. Kırcı Altınkeski и соавторы, используя недельные данные за 2000–2021 годы, исследуют зависимость финансового стресса США и еврозоны в разных частях распределения. Для центральной части они находят преимущественно передачу из США в еврозону, тогда как при высоком стрессе выявляется двусторонняя связь. G. Apostolakis и N. Giannellis также рассматривают международные последствия финансовой напряжённости в глобальной системе взаимосвязанных экономик. Вместе эти исследования показывают, что направление, сила и макроэкономические последствия связи зависят от состояния системы и используемой спецификации.</w:t>
      </w:r>
      <w:r>
        <w:footnoteReference w:id="16"/>
      </w:r>
    </w:p>
    <w:p>
      <w:r>
        <w:t>Дополнительную сложность создаёт неоднородность факторов, стоящих за одинаковым изменением рыночного показателя. В пересмотренной в 2026 году работе L. Brandt и соавторы разделяют внутренние факторы еврозоны, американские воздействия и изменения глобального отношения к риску. Их результаты показывают значительную роль внешних факторов в европейских ценах активов. При этом разные исходные воздействия могут усиливать или частично компенсировать друг друга. Следовательно, повышение доходности или снижение стоимости акций нельзя автоматически отнести к одному механизму. Для интерпретации американского индекса важно учитывать, что одинаковое его значение способно соответствовать разным сочетаниям факторов.</w:t>
      </w:r>
      <w:r>
        <w:footnoteReference w:id="17"/>
      </w:r>
    </w:p>
    <w:p>
      <w:r>
        <w:t>Синхронное движение финансовых индикаторов также может возникать вследствие общих ожиданий относительно мировой торговли, цен и экономической активности. Если инвесторы одновременно пересматривают перспективы США и еврозоны, американский индекс способен раньше отразить эту информацию, даже когда отдельный трансграничный финансовый поток не является её причиной. M. M. Habib и F. Venditti показывают, что влияние глобального финансового цикла на еврозону зависит от того, измеряются ли текущие рыночные напряжения или более широкие условия финансирования. Поэтому прогнозный результат следует интерпретировать с учётом возможного информационного пересечения между регионами.</w:t>
      </w:r>
      <w:r>
        <w:footnoteReference w:id="18"/>
      </w:r>
    </w:p>
    <w:p>
      <w:r>
        <w:t>Это обстоятельство определяет роль европейских контрольных переменных. Лаговый рост отражает предшествующую динамику выпуска, а ESI — информацию об экономических настроениях в еврозоне. После их включения американский индекс должен показать дополнительную полезность относительно уже доступной европейской информации. Однако ESI не является исчерпывающим измерителем финансовых условий еврозоны. Поэтому положительный результат такого сравнения не доказывал бы независимость американского сигнала от всех европейских финансовых факторов. Соответственно, исследовательский вопрос ограничивается выбранным информационным набором.</w:t>
      </w:r>
    </w:p>
    <w:p>
      <w:r>
        <w:t>Таким образом, международная постановка работы опирается на экономически содержательные связи между финансовыми посредниками, потоками капитала, стоимостью финансирования и реальной активностью. Но эти связи сами по себе не обеспечивают устойчивого прогнозного выигрыша. Американский индекс может дублировать европейскую информацию, своевременно отражать уже происходящее ухудшение или быть недостаточно точным агрегатом для выбранного горизонта. Поэтому следующая задача состоит в переходе от обоснованного механизма к проверяемой модели нижнего риска роста и к критериям оценки её дополнительной информативности.</w:t>
      </w:r>
    </w:p>
    <w:p>
      <w:pPr>
        <w:pStyle w:val="Heading2"/>
      </w:pPr>
      <w:r>
        <w:t>1.3 Growth at Risk и результаты существующих исследований</w:t>
      </w:r>
    </w:p>
    <w:p>
      <w:r>
        <w:t>Прогноз средней динамики выпуска не даёт полного представления о риске экономического спада. При одинаковом ожидаемом темпе роста распределения возможных исходов могут различаться по разбросу и вероятности глубокого сокращения активности. Для международно интегрированной экономики это существенно: ухудшение внешнего финансирования способно повысить риск неблагоприятного исхода, даже если центральный прогноз меняется умеренно. Подход Growth-at-Risk позволяет выразить такой риск в единицах экономического роста и связать его с наблюдаемыми макрофинансовыми условиями.</w:t>
      </w:r>
    </w:p>
    <w:p>
      <w:r>
        <w:t>Для определённости обозначим будущий рост реального ВВП за h кварталов через G(t,h). В настоящем исследовании используется годовой логарифмический темп:</w:t>
      </w:r>
    </w:p>
    <w:p>
      <w:pPr>
        <w:spacing w:before="100" w:after="100"/>
        <w:ind w:firstLine="0"/>
        <w:jc w:val="center"/>
      </w:pPr>
      <m:oMath>
        <m:r>
          <m:rPr>
            <m:sty m:val="p"/>
          </m:rPr>
          <w:rPr>
            <w:sz w:val="24"/>
          </w:rPr>
          <m:t>G(t,h) = (400/h) ln[Y(t+h)/Y(t)].    (1.1)</m:t>
        </m:r>
      </m:oMath>
    </w:p>
    <w:p>
      <w:r>
        <w:t>Здесь Y(t) — уровень реального ВВП, t — исходный квартал, h — горизонт. Для одного квартала выражение переводит квартальное логарифмическое изменение в годовой масштаб; при четырёх кварталах оно характеризует изменение за год. Наличие Y(t+h) в целевой переменной не означает её доступности на дату прогноза. Будущие значения используются для последующей оценки, тогда как прогноз строится на информации, известной к установленной дате.</w:t>
      </w:r>
    </w:p>
    <w:p>
      <w:r>
        <w:t>Growth-at-Risk задаётся нижним квантилем условного распределения G(t,h):</w:t>
      </w:r>
    </w:p>
    <w:p>
      <w:pPr>
        <w:spacing w:before="100" w:after="100"/>
        <w:ind w:firstLine="0"/>
        <w:jc w:val="center"/>
      </w:pPr>
      <m:oMath>
        <m:r>
          <m:rPr>
            <m:sty m:val="p"/>
          </m:rPr>
          <w:rPr>
            <w:sz w:val="24"/>
          </w:rPr>
          <m:t>GaR(τ,t,h) = Q[τ; G(t,h) | I(t)].    (1.2)</m:t>
        </m:r>
      </m:oMath>
    </w:p>
    <w:p>
      <w:r>
        <w:t>В этой записи I(t) обозначает доступный информационный набор, а τ — выбранный уровень квантиля. При τ = 0,10 показатель характеризует границу, ниже которой при корректном описании условного распределения находится 10% возможных реализаций роста. Снижение этой границы соответствует более неблагоприятному нижнему сценарию. При этом значение GaR может оставаться положительным. Сам показатель не равен ни вероятности рецессии, ни максимально возможному падению выпуска. Для определения вероятности отрицательного роста необходимо знать распределение в точке ноль, чего один оценённый квантиль в общем случае не обеспечивает. Возможности и ограничения такой интерпретации раскрываются в методической работе A. Prasad и соавторов.</w:t>
      </w:r>
      <w:r>
        <w:footnoteReference w:id="19"/>
      </w:r>
    </w:p>
    <w:p>
      <w:r>
        <w:t>Эконометрическую основу подхода составляет квантильная регрессия, предложенная R. Koenker и G. Bassett. Она позволяет оценивать связь факторов с выбранной частью условного распределения. В отличие от регрессии условного среднего, коэффициенты могут различаться между нижним, центральным и верхним квантилями. Поэтому финансовое ужесточение может быть связано с неблагоприятными исходами сильнее, чем с медианной траекторией. Вместе с тем квантильная регрессия не устраняет автоматически проблемы пропущенных переменных, зависимости наблюдений или экстремальных значений регрессоров. Её использование должно сопровождаться проверкой спецификации и качества прогноза.</w:t>
      </w:r>
      <w:r>
        <w:footnoteReference w:id="20"/>
      </w:r>
    </w:p>
    <w:p>
      <w:r>
        <w:t>В работе T. Adrian, N. Boyarchenko и D. Giannone «Vulnerable Growth» показано, что ухудшение финансовых условий США связано с уменьшением условного среднего и увеличением условной волатильности роста. В результате нижние квантили заметно меняются вместе с финансовой средой, тогда как верхняя часть распределения оказывается более устойчивой. Авторы связывают такую уязвимость роста с механизмами усиления финансовых колебаний. Значение исследования заключается в переходе от вопроса о среднем влиянии финансовых показателей к анализу всего распределения возможных исходов. Однако установленные для американской выборки свойства требуют отдельной проверки для других экономик и информационных наборов.</w:t>
      </w:r>
      <w:r>
        <w:footnoteReference w:id="21"/>
      </w:r>
    </w:p>
    <w:p>
      <w:r>
        <w:t>Дальнейшее развитие этой идеи связано с рассмотрением рисков вокруг уже имеющегося центрального прогноза. P. Adams и соавторы показывают, что финансовые условия содержат информацию об изменяющейся неопределённости и асимметрии распределений роста, безработицы и инфляции. Этот результат помогает понять роль американского индекса в настоящей постановке. Его полезность может состоять в уточнении неблагоприятных сценариев после учёта обычной макроэкономической информации. Поэтому включение лагового роста и экономических настроений в базовую модель делает проверку дополнительной информативности более содержательной.</w:t>
      </w:r>
      <w:r>
        <w:footnoteReference w:id="22"/>
      </w:r>
    </w:p>
    <w:p>
      <w:r>
        <w:t>При переносе подхода на еврозону важен выбор финансового показателя. J. M. Figueres и M. Jarociński сопоставляют различные измерители финансовых условий и находят, что CISS лучше отражает нижние риски роста, чем ряд узких индикаторов и их простое объединение методом главных компонент. Использование подходящего агрегата позволяет воспроизвести для еврозоны свойства, близкие к результатам «Vulnerable Growth». Тем самым сама оценка нижнего квантиля европейского роста по финансовому индексу уже представлена в литературе. Вклад нового исследования должен определяться уточнённым вопросом, составом сравнения и правилами эмпирической проверки.</w:t>
      </w:r>
      <w:r>
        <w:footnoteReference w:id="23"/>
      </w:r>
    </w:p>
    <w:p>
      <w:r>
        <w:t>T. Szendrei и K. Varga дополняют эту линию отбором финансовых переменных для разных частей распределения роста еврозоны. Они применяют регуляризацию и ограничения, обеспечивающие согласованность оценённых квантилей. Исследование показывает, что полезный набор показателей может различаться в зависимости от квантиля и горизонта, а агрегированный индекс не обязательно исчерпывает всю информацию отдельных финансовых сегментов. S. Chavleishvili и M. Kremer, в свою очередь, связывают усовершенствованный CISS с нижними рисками в одноуравневых и системных квантильных моделях. Эти работы обосновывают внимание к способу измерения финансовой среды, одновременно ограничивая возможность обобщить результат одной спецификации на все финансовые условия.</w:t>
      </w:r>
      <w:r>
        <w:footnoteReference w:id="24"/>
      </w:r>
    </w:p>
    <w:p>
      <w:r>
        <w:t>Близким прикладным предшественником является модель немецкой экономики J. Plaasch и A. Röthig. Предпочтительная спецификация авторов включает внутренний финансовый стресс, американский NFCI, предшествующий рост и индикатор деловых настроений. Работа показывает, что использование американского индекса для прогноза европейской экономики уже имеет прямые примеры. Кроме того, авторы считают десятый процентиль более устойчивым, чем пятый, в рассмотренном наборе спецификаций. Для нашего исследования это поддерживает выбор умеренно удалённого нижнего квантиля, но не гарантирует его точности. Агрегат еврозоны, исторические версии и единые простые ориентиры образуют самостоятельный дизайн, результат которого необходимо проверять отдельно.</w:t>
      </w:r>
      <w:r>
        <w:footnoteReference w:id="25"/>
      </w:r>
    </w:p>
    <w:p>
      <w:r>
        <w:t>Горизонт прогнозирования также меняет экономическое содержание финансовой информации. T. Adrian и соавторы в исследовании временной структуры GaR показывают, что мягкие условия могут сочетаться с меньшими ближайшими рисками и их последующим накоплением. J. H. Lang, M. Rusnák и M. Greiwe для стран еврозоны различают текущий финансовый стресс и показатели финансовых уязвимостей. В их анализе оба типа индикаторов содержат информацию о ближайших рисках, тогда как для горизонтов от трёх лет существеннее оказываются уязвимости. Поэтому сравнение одного и четырёх кварталов в настоящей работе относится к ближайшей перспективе и не заменяет исследования среднесрочного накопления риска.</w:t>
      </w:r>
      <w:r>
        <w:footnoteReference w:id="26"/>
      </w:r>
    </w:p>
    <w:p>
      <w:r>
        <w:t>Отдельная группа работ использует преимущество финансовых данных по частоте обновления. L. Ferrara, M. Mogliani и J.-G. Sahuc строят высокочастотные оценки GaR еврозоны на основе байесовских MIDAS-квантильных регрессий. Их подход позволяет учитывать финансовые изменения внутри квартала и своевременно обновлять оценку риска. R. A. De Santis и W. Van der Veken рассматривают прогнозирование макроэкономических рисков в реальном времени и показывают, что финансовая информация может помогать оценивать тяжесть уже начинающегося ухудшения. Эти исследования важны для различения заблаговременного предсказания события и оперативного измерения его последствий.</w:t>
      </w:r>
      <w:r>
        <w:footnoteReference w:id="27"/>
      </w:r>
    </w:p>
    <w:p>
      <w:r>
        <w:t>Использование более широких наборов данных расширяет возможности модели, но одновременно усложняет проверку её устойчивости. T. E. Clark и соавторы предлагают многострановую непараметрическую квантильную факторную модель, в которой международная информация и нелинейные зависимости могут улучшать прогнозы, особенно в хвостах. В работе Экспертной группы ЕЦБ по Macro-at-Risk рассматривается широкий круг финансовых, денежных, реальных и иных факторов. Результаты подчёркивают зависимость полезного набора показателей от горизонта, периода и прогнозной задачи. Для настоящего исследования эти подходы служат ориентиром возможного развития, тогда как ограниченная спецификация позволяет прозрачнее выделить изменение результата при добавлении каждого американского индекса.</w:t>
      </w:r>
      <w:r>
        <w:footnoteReference w:id="28"/>
      </w:r>
    </w:p>
    <w:p>
      <w:r>
        <w:t>Наряду с положительными результатами существует критическая литература о предсказуемости хвостовых рисков. M. Plagborg-Møller и соавторы на данных 13 развитых экономик находят, что моменты распределения, отличные от среднего, оцениваются неточно, а дополнительная прогнозная информация финансовых переменных после учёта реальных индикаторов ограничена. Авторы обращают внимание на высокую общность финансовой и макроэкономической информации, особенно во время рецессий. Поэтому убедительная связь внутри исторической выборки ещё не означает возможности устойчиво предсказывать редкие неблагоприятные исходы. Этот результат делает сравнение с простой базой центральной частью проверки GaR.</w:t>
      </w:r>
      <w:r>
        <w:footnoteReference w:id="29"/>
      </w:r>
    </w:p>
    <w:p>
      <w:r>
        <w:t>C. Brownlees и A. B. M. Souza проводят вневыборочную проверку прогнозов GaR для 24 стран ОЭСР и сравнивают квантильные регрессии с моделями условной волатильности. Их результаты не дают оснований считать квантильную регрессию безусловно превосходящим инструментом: стандартные модели типа GARCH могут обеспечивать сопоставимое или более высокое качество. В настоящей работе набор ориентиров другой, однако логика проверки та же. Дополнительный финансовый показатель должен оправдать свою сложность улучшением по сравнению с доступными простыми прогнозами. Поэтому отдельно рассматриваются исторический квантиль, авторегрессионная модель и европейская модель с ESI.</w:t>
      </w:r>
      <w:r>
        <w:footnoteReference w:id="30"/>
      </w:r>
    </w:p>
    <w:p>
      <w:r>
        <w:t>Оценка информативности зависит и от версии данных. A. Amburgey и M. W. McCracken исследуют NFCI для квантилей роста США, используя исторические версии и специальные методы сравнения вложенных прогнозных моделей при пересмотрах. Авторы показывают, почему сегодняшняя история индекса не тождественна информации, доступной прогнозисту в прошлом: пересматриваются исходные показатели и оценки факторной модели. При этом их результаты не сводятся к утверждению, что исторические версии всегда ухудшают качество; в некоторых условиях они дают полезные сигналы перед рецессией. Для нашего исследования важен сам принцип: направление влияния пересмотров устанавливается эмпирически, а календарь доступности является частью прогнозного дизайна.</w:t>
      </w:r>
      <w:r>
        <w:footnoteReference w:id="31"/>
      </w:r>
    </w:p>
    <w:p>
      <w:r>
        <w:t>Этот принцип распространяется на ВВП и европейские экономические показатели. Нужно различать дату, к которой относится наблюдение, момент его публикации и версию, используемую при обучении. Кроме того, качество прогноза может оцениваться по первой публикации, более позднему выпуску или текущей пересмотренной оценке факта. Различные варианты отвечают на разные вопросы и способны изменять ранжирование моделей. Уже в работе T. Matheson прямо рассматриваются публикационные задержки и свойства пересмотров индексов. Следовательно, воспроизведение исторического информационного набора представляет собой содержательное условие проверки полезности финансового сигнала.</w:t>
      </w:r>
      <w:r>
        <w:footnoteReference w:id="32"/>
      </w:r>
    </w:p>
    <w:p>
      <w:r>
        <w:t>Другой источник различий связан с эконометрической спецификацией. D. Cho и S. Rho показывают, что учёт высокой устойчивости финансовых предикторов может сохранять основные результаты об уязвимом росте и улучшать прогнозы нижних квантилей. W. Long, L. Peng и B. Yang обращают внимание на коррелированные ошибки: расширение лаговой структуры меняет вывод о значимости текущих финансовых условий, хотя их совместная информативность с лагами сохраняется. Эти работы представляют разные уточнения одной рамки. Они показывают, что результат следует соотносить с динамической спецификацией и используемой процедурой оценивания, а не только с названием включённого финансового индекса.</w:t>
      </w:r>
      <w:r>
        <w:footnoteReference w:id="33"/>
      </w:r>
    </w:p>
    <w:p>
      <w:r>
        <w:t>Имеет значение и способ перехода от квантилей к полной прогнозной плотности. J. Mitchell, A. Poon и D. Zhu показывают, что навязывание определённой параметрической формы способно скрывать особенности распределения, в том числе многомодальность. T. Adrian, Y. Sasaki и Y. Wang исследуют ограничения описания крайних хвостов и предлагают метод, допускающий изменяющееся поведение хвостового показателя. Эти результаты подчёркивают различие между оценкой выбранного нижнего квантиля и восстановлением всей плотности. В настоящей работе основной объект — десятый процентиль; выводы о полной форме распределения и вероятности рецессии из него не делаются.</w:t>
      </w:r>
      <w:r>
        <w:footnoteReference w:id="34"/>
      </w:r>
    </w:p>
    <w:p>
      <w:r>
        <w:t>Особое место занимает чувствительность к экстремальным наблюдениям. A. Carriero и соавторы показывают на байесовских VAR, что чрезвычайные изменения макроэкономических рядов способны существенно влиять на параметры и прогнозы. Сам метод авторов не переносится автоматически в квантильную регрессию, однако проблема влияния отдельных наблюдений остаётся значимой. В GaR необходимо различать удаление даты из расчёта качества уже построенных прогнозов и исключение экстремальных целей из обучения с повторной оценкой модели. Первая проверка выявляет концентрацию среднего результата, вторая меняет процедуру прогнозирования. Пандемийный эпизод в настоящем исследовании используется именно как проверка чувствительности.</w:t>
      </w:r>
      <w:r>
        <w:footnoteReference w:id="35"/>
      </w:r>
    </w:p>
    <w:p>
      <w:r>
        <w:t>Для сравнения прогнозов выбранного квантиля используется асимметричная функция потерь:</w:t>
      </w:r>
    </w:p>
    <w:p>
      <w:pPr>
        <w:spacing w:before="100" w:after="100"/>
        <w:ind w:firstLine="0"/>
        <w:jc w:val="center"/>
      </w:pPr>
      <m:oMath>
        <m:r>
          <m:rPr>
            <m:sty m:val="p"/>
          </m:rPr>
          <w:rPr>
            <w:sz w:val="24"/>
          </w:rPr>
          <m:t>ρ(τ,u) = u[τ − 1(u &lt; 0)],   u = G(t,h) − q̂(τ,t,h).    (1.3)</m:t>
        </m:r>
      </m:oMath>
    </w:p>
    <w:p>
      <w:r>
        <w:t>Здесь q̂(τ,t,h) — прогноз квантиля, а индикатор 1(u &lt; 0) принимает единицу, если фактический рост оказался ниже прогноза. Для нижнего квантиля такая ошибка получает больший вес, чем отклонение сопоставимого размера в противоположную сторону. Меньшая средняя потеря соответствует более высокому качеству по выбранному критерию. Работы T. Gneiting и A. E. Raftery, а также T. Gneiting и R. Ranjan дают основание согласовывать оценку вероятностных прогнозов с тем свойством распределения, которое действительно интересует исследователя. Поэтому средняя квадратичная ошибка центрального прогноза не подменяет оценку нижнего квантиля.</w:t>
      </w:r>
      <w:r>
        <w:footnoteReference w:id="36"/>
      </w:r>
    </w:p>
    <w:p>
      <w:r>
        <w:t>Дополнительно рассматривается калибровка. Если фактический рост оказывается ниже прогнозируемого десятого процентиля существенно чаще 10%, граница может давать чрезмерно благоприятную картину нижнего риска. Однако близкая к 10% средняя частота сама по себе не подтверждает правильность условного прогноза: ошибки могут концентрироваться в отдельных состояниях экономики. V. Corradi, J. Fosten и D. Gutknecht предлагают процедуры сравнения условного покрытия и подчёркивают трудности оценки редких событий на коротких квартальных выборках. Поэтому потери, средняя частота нарушений и их расположение во времени рассматриваются как взаимодополняющие характеристики.</w:t>
      </w:r>
      <w:r>
        <w:footnoteReference w:id="37"/>
      </w:r>
    </w:p>
    <w:p>
      <w:r>
        <w:t>Статистическое сравнение также должно учитывать способ построения прогнозов. В подходе R. Giacomini и H. White объектом оценки выступает прогнозная процедура, включающая модель и оценивание её параметров. Это важно при сопоставлении расширяющихся и скользящих окон. Для вложенных квантильных моделей с пересмотрами применимость конкретного теста требует отдельных условий, рассматриваемых A. Amburgey и M. W. McCracken. Поэтому более низкая наблюдаемая потеря описывает результат данной выборки, но не всегда достаточна для утверждения статистически подтверждённого превосходства. При многоквартальных горизонтах дополнительно возникает зависимость из-за перекрывающихся целевых интервалов.</w:t>
      </w:r>
      <w:r>
        <w:footnoteReference w:id="38"/>
      </w:r>
    </w:p>
    <w:p>
      <w:r>
        <w:t>Обзор литературы позволяет сформулировать вклад настоящей работы как прикладное уточнение существующих подходов. Исследование сравнивает NFCI и ANFCI в прогнозировании десятого процентиля роста агрегата еврозоны при одинаковых европейских переменных, датах и правилах обучения. Основное сравнение строится на исторически доступных версиях; отдельно оценивается чувствительность к поздним версиям, экстремальным датам и выбору окна. При этом использование американского индекса в европейской модели, квантильная регрессия и сам отрицательный результат не заявляются как самостоятельные новые методы или ранее неизвестные факты.</w:t>
      </w:r>
    </w:p>
    <w:p>
      <w:r>
        <w:t>Из проведённого анализа следуют три взаимосвязанных вопроса для эмпирической части. Первый состоит в том, уменьшает ли американский индекс прогнозную потерю после учёта лагового роста и ESI. Второй — сохраняется ли возможное улучшение относительно простых ориентиров и при изменении версии данных или состава оценочных дат. Третий относится к различиям NFCI и ANFCI: помогает ли макроэкономическая корректировка получить более полезный и лучше откалиброванный прогноз. Экономическая теория допускает наличие такой дополнительной информации, но не задаёт заранее положительного ответа.</w:t>
      </w:r>
    </w:p>
    <w:p>
      <w:r>
        <w:t>Финансовые взаимосвязи США и еврозоны, таким образом, образуют экономическое основание исследования, а вневыборочная проверка определяет практические границы использования американского сигнала. Устойчивое улучшение прогноза было бы совместимо с полезностью внешней финансовой информации для мониторинга рисков. Отсутствие такого улучшения указывало бы на ограничения выбранных индикаторов и дизайна, сохраняя значение международных связей, выявленных в структурной литературе. Во второй главе рассматриваются свойства используемых данных и их историческая доступность, после чего в третьей главе проводится единое сравнение прогнозных моделей.</w:t>
      </w:r>
    </w:p>
    <w:p>
      <w:r>
        <w:br w:type="page"/>
      </w:r>
    </w:p>
    <w:p>
      <w:pPr>
        <w:pStyle w:val="Heading1"/>
      </w:pPr>
      <w:r>
        <w:t>Список использованных источников к главе 1</w:t>
      </w:r>
    </w:p>
    <w:p>
      <w:pPr>
        <w:keepLines/>
        <w:spacing w:line="240" w:lineRule="auto" w:after="60"/>
        <w:ind w:hanging="425" w:left="425"/>
      </w:pPr>
      <w:r>
        <w:rPr>
          <w:sz w:val="24"/>
        </w:rPr>
        <w:t>1. Hatzius J., Hooper P., Mishkin F. S., Schoenholtz K. L., Watson M. W. Financial Conditions Indexes: A Fresh Look after the Financial Crisis. NBER Working Paper No. 16150. 2010. DOI: 10.3386/w16150.</w:t>
      </w:r>
    </w:p>
    <w:p>
      <w:pPr>
        <w:keepLines/>
        <w:spacing w:line="240" w:lineRule="auto" w:after="60"/>
        <w:ind w:hanging="425" w:left="425"/>
      </w:pPr>
      <w:r>
        <w:rPr>
          <w:sz w:val="24"/>
        </w:rPr>
        <w:t>2. Brave S., Butters R. A. Monitoring Financial Stability: A Financial Conditions Index Approach. Economic Perspectives, Federal Reserve Bank of Chicago. 2011. Vol. 35, No. 1. P. 22–43. URL: https://www.chicagofed.org/-/media/publications/economic-perspectives/2011/1qtr2011-part2-brave-butters-pdf.pdf (дата обращения 16.10.2026).</w:t>
      </w:r>
    </w:p>
    <w:p>
      <w:pPr>
        <w:keepLines/>
        <w:spacing w:line="240" w:lineRule="auto" w:after="60"/>
        <w:ind w:hanging="425" w:left="425"/>
      </w:pPr>
      <w:r>
        <w:rPr>
          <w:sz w:val="24"/>
        </w:rPr>
        <w:t>3. Brave S., Butters R. A. Diagnosing the Financial System: Financial Conditions and Financial Stress. International Journal of Central Banking. 2012. Vol. 8, No. 2. P. 191–239. URL: https://www.ijcb.org/sites/default/files/journal/v8n2/ijcb-v8n2-diagnosing-financial-system-financial-conditions-and-financial-stress.pdf (дата обращения 16.10.2026).</w:t>
      </w:r>
    </w:p>
    <w:p>
      <w:pPr>
        <w:keepLines/>
        <w:spacing w:line="240" w:lineRule="auto" w:after="60"/>
        <w:ind w:hanging="425" w:left="425"/>
      </w:pPr>
      <w:r>
        <w:rPr>
          <w:sz w:val="24"/>
        </w:rPr>
        <w:t>4. Arrigoni S., Bobasu A., Venditti F. Measuring Financial Conditions using Equal Weights Combination. IMF Economic Review. 2022. Vol. 70. No. 4. P. 668–697. DOI: 10.1057/s41308-022-00170-y.</w:t>
      </w:r>
    </w:p>
    <w:p>
      <w:pPr>
        <w:keepLines/>
        <w:spacing w:line="240" w:lineRule="auto" w:after="60"/>
        <w:ind w:hanging="425" w:left="425"/>
      </w:pPr>
      <w:r>
        <w:rPr>
          <w:sz w:val="24"/>
        </w:rPr>
        <w:t>5. Holló D., Kremer M., Lo Duca M. CISS — A Composite Indicator of Systemic Stress in the Financial System. ECB Working Paper No. 1426. 2012. URL: https://www.ecb.europa.eu/pub/pdf/scpwps/ecbwp1426.pdf (дата обращения 16.10.2026).</w:t>
      </w:r>
    </w:p>
    <w:p>
      <w:pPr>
        <w:keepLines/>
        <w:spacing w:line="240" w:lineRule="auto" w:after="60"/>
        <w:ind w:hanging="425" w:left="425"/>
      </w:pPr>
      <w:r>
        <w:rPr>
          <w:sz w:val="24"/>
        </w:rPr>
        <w:t>6. Chavleishvili S., Kremer M. Measuring Systemic Financial Stress and Its Risks for Growth. ECB Working Paper No. 2842. 2023. URL: https://www.ecb.europa.eu/pub/pdf/scpwps/ecb.wp2842~9a4cb3f225.en.pdf (дата обращения 16.10.2026).</w:t>
      </w:r>
    </w:p>
    <w:p>
      <w:pPr>
        <w:keepLines/>
        <w:spacing w:line="240" w:lineRule="auto" w:after="60"/>
        <w:ind w:hanging="425" w:left="425"/>
      </w:pPr>
      <w:r>
        <w:rPr>
          <w:sz w:val="24"/>
        </w:rPr>
        <w:t>7. Brave S. A., Kelley D. Introducing the Chicago Fed’s New Adjusted National Financial Conditions Index. Chicago Fed Letter. 2017. No. 386. URL: https://www.chicagofed.org/publications/chicago-fed-letter/2017/386 (дата обращения 16.10.2026).</w:t>
      </w:r>
    </w:p>
    <w:p>
      <w:pPr>
        <w:keepLines/>
        <w:spacing w:line="240" w:lineRule="auto" w:after="60"/>
        <w:ind w:hanging="425" w:left="425"/>
      </w:pPr>
      <w:r>
        <w:rPr>
          <w:sz w:val="24"/>
        </w:rPr>
        <w:t>8. Bletzinger T., Martorana G., Mistak J. Looser, Tighter, Clearer: A New Financial Conditions Index for the Euro Area. ECB Working Paper No. 3193. 2026. DOI: 10.2866/8467971. URL: https://www.ecb.europa.eu/pub/pdf/scpwps/ecb.wp3193~9db57822d4.en.pdf (дата обращения 16.10.2026).</w:t>
      </w:r>
    </w:p>
    <w:p>
      <w:pPr>
        <w:keepLines/>
        <w:spacing w:line="240" w:lineRule="auto" w:after="60"/>
        <w:ind w:hanging="425" w:left="425"/>
      </w:pPr>
      <w:r>
        <w:rPr>
          <w:sz w:val="24"/>
        </w:rPr>
        <w:t>9. Miranda-Agrippino S., Rey H. U.S. Monetary Policy and the Global Financial Cycle. Review of Economic Studies. 2020. Vol. 87, No. 6. P. 2754–2776. DOI: 10.1093/restud/rdaa019.</w:t>
      </w:r>
    </w:p>
    <w:p>
      <w:pPr>
        <w:keepLines/>
        <w:spacing w:line="240" w:lineRule="auto" w:after="60"/>
        <w:ind w:hanging="425" w:left="425"/>
      </w:pPr>
      <w:r>
        <w:rPr>
          <w:sz w:val="24"/>
        </w:rPr>
        <w:t>10. Habib M. M., Venditti F. The Global Financial Cycle: Implications for the Global Economy and the Euro Area. ECB Economic Bulletin. 2018. Issue 6. URL: https://www.ecb.europa.eu/press/economic-bulletin/articles/2018/html/ecb.ebart201806_01.en.html (дата обращения 16.10.2026).</w:t>
      </w:r>
    </w:p>
    <w:p>
      <w:pPr>
        <w:keepLines/>
        <w:spacing w:line="240" w:lineRule="auto" w:after="60"/>
        <w:ind w:hanging="425" w:left="425"/>
      </w:pPr>
      <w:r>
        <w:rPr>
          <w:sz w:val="24"/>
        </w:rPr>
        <w:t>11. Matheson T. D. Financial Conditions Indexes for the United States and Euro Area. IMF Working Paper No. 11/93. 2011. DOI: 10.5089/9781455253326.001.</w:t>
      </w:r>
    </w:p>
    <w:p>
      <w:pPr>
        <w:keepLines/>
        <w:spacing w:line="240" w:lineRule="auto" w:after="60"/>
        <w:ind w:hanging="425" w:left="425"/>
      </w:pPr>
      <w:r>
        <w:rPr>
          <w:sz w:val="24"/>
        </w:rPr>
        <w:t>12. Bruno V., Shin H. S. Cross-Border Banking and Global Liquidity. BIS Working Paper No. 458. 2014. Журнальная версия: Review of Economic Studies. 2015. Vol. 82, No. 2. P. 535–564. URL: https://www.bis.org/publications/working-paper-458-cross-border-banking-and-global-liquidity (дата обращения 16.10.2026).</w:t>
      </w:r>
    </w:p>
    <w:p>
      <w:pPr>
        <w:keepLines/>
        <w:spacing w:line="240" w:lineRule="auto" w:after="60"/>
        <w:ind w:hanging="425" w:left="425"/>
      </w:pPr>
      <w:r>
        <w:rPr>
          <w:sz w:val="24"/>
        </w:rPr>
        <w:t>13. Kaufmann C. Investment Funds, Monetary Policy, and the Global Financial Cycle. ECB Working Paper No. 2489. 2020. Revised December 2022. URL: https://www.ecb.europa.eu/pub/pdf/scpwps/ecb.wp2489~26b7eca600.en.pdf (дата обращения 16.10.2026).</w:t>
      </w:r>
    </w:p>
    <w:p>
      <w:pPr>
        <w:keepLines/>
        <w:spacing w:line="240" w:lineRule="auto" w:after="60"/>
        <w:ind w:hanging="425" w:left="425"/>
      </w:pPr>
      <w:r>
        <w:rPr>
          <w:sz w:val="24"/>
        </w:rPr>
        <w:t>14. Bernanke B. S., Gertler M., Gilchrist S. The Financial Accelerator in a Quantitative Business Cycle Framework. NBER Working Paper No. 6455. 1998. DOI: 10.3386/w6455.</w:t>
      </w:r>
    </w:p>
    <w:p>
      <w:pPr>
        <w:keepLines/>
        <w:spacing w:line="240" w:lineRule="auto" w:after="60"/>
        <w:ind w:hanging="425" w:left="425"/>
      </w:pPr>
      <w:r>
        <w:rPr>
          <w:sz w:val="24"/>
        </w:rPr>
        <w:t>15. Dovern J., van Roye B. International transmission and business-cycle effects of financial stress. Journal of Financial Stability. 2014. Vol. 13. P. 1–17. DOI: 10.1016/j.jfs.2014.02.006.</w:t>
      </w:r>
    </w:p>
    <w:p>
      <w:pPr>
        <w:keepLines/>
        <w:spacing w:line="240" w:lineRule="auto" w:after="60"/>
        <w:ind w:hanging="425" w:left="425"/>
      </w:pPr>
      <w:r>
        <w:rPr>
          <w:sz w:val="24"/>
        </w:rPr>
        <w:t>16. Dajčman S., Kavkler A., Mikek P., Romih D. Transmission of Financial Stress Shocks between the USA and the Euro Area During Different Business Cycle Phases. E&amp;M Economics and Management. 2020. Vol. 23, No. 4. P. 152–165. DOI: 10.15240/tul/001/2020-4-010.</w:t>
      </w:r>
    </w:p>
    <w:p>
      <w:pPr>
        <w:keepLines/>
        <w:spacing w:line="240" w:lineRule="auto" w:after="60"/>
        <w:ind w:hanging="425" w:left="425"/>
      </w:pPr>
      <w:r>
        <w:rPr>
          <w:sz w:val="24"/>
        </w:rPr>
        <w:t>17. Altınkeski B. K., Cevik E. I., Dibooglu S., Kutan A. M. Financial stress transmission between the U.S. and the Euro Area. Journal of Financial Stability. 2022. Vol. 60. Article 101004. DOI: 10.1016/j.jfs.2022.101004.</w:t>
      </w:r>
    </w:p>
    <w:p>
      <w:pPr>
        <w:keepLines/>
        <w:spacing w:line="240" w:lineRule="auto" w:after="60"/>
        <w:ind w:hanging="425" w:left="425"/>
      </w:pPr>
      <w:r>
        <w:rPr>
          <w:sz w:val="24"/>
        </w:rPr>
        <w:t>18. Apostolakis G. N., Giannellis N. International financial stress spillovers during times of unconventional monetary policy interventions. Journal of Financial Stability. 2024. Vol. 72. Article 101259. DOI: 10.1016/j.jfs.2024.101259.</w:t>
      </w:r>
    </w:p>
    <w:p>
      <w:pPr>
        <w:keepLines/>
        <w:spacing w:line="240" w:lineRule="auto" w:after="60"/>
        <w:ind w:hanging="425" w:left="425"/>
      </w:pPr>
      <w:r>
        <w:rPr>
          <w:sz w:val="24"/>
        </w:rPr>
        <w:t>19. Brandt L., Saint Guilhem A., Schröder M., Van Robays I. What Drives Euro Area Financial Markets? The Role of US Spillovers and Global Risk. ECB Working Paper No. 2560. 2021. Revised March 2026. URL: https://www.ecb.europa.eu/pub/pdf/scpwps/ecb.wp2560~f98f3c7d78.en.pdf (дата обращения 16.10.2026).</w:t>
      </w:r>
    </w:p>
    <w:p>
      <w:pPr>
        <w:keepLines/>
        <w:spacing w:line="240" w:lineRule="auto" w:after="60"/>
        <w:ind w:hanging="425" w:left="425"/>
      </w:pPr>
      <w:r>
        <w:rPr>
          <w:sz w:val="24"/>
        </w:rPr>
        <w:t>20. Prasad A., Elekdag S., Jeasakul P., Lafarguette R., Alter A., Feng A. X., Wang C. Growth at Risk: Concept and Application in IMF Country Surveillance. IMF Working Paper No. 19/36. 2019. DOI: 10.5089/9781484397015.001.</w:t>
      </w:r>
    </w:p>
    <w:p>
      <w:pPr>
        <w:keepLines/>
        <w:spacing w:line="240" w:lineRule="auto" w:after="60"/>
        <w:ind w:hanging="425" w:left="425"/>
      </w:pPr>
      <w:r>
        <w:rPr>
          <w:sz w:val="24"/>
        </w:rPr>
        <w:t>21. Koenker R., Bassett G. Regression Quantiles. Econometrica. 1978. Vol. 46, No. 1. P. 33–50. DOI: 10.2307/1913643.</w:t>
      </w:r>
    </w:p>
    <w:p>
      <w:pPr>
        <w:keepLines/>
        <w:spacing w:line="240" w:lineRule="auto" w:after="60"/>
        <w:ind w:hanging="425" w:left="425"/>
      </w:pPr>
      <w:r>
        <w:rPr>
          <w:sz w:val="24"/>
        </w:rPr>
        <w:t>22. Adrian T., Boyarchenko N., Giannone D. Vulnerable Growth. American Economic Review. 2019. Vol. 109. No. 4. P. 1263–1289. DOI: 10.1257/aer.20161923.</w:t>
      </w:r>
    </w:p>
    <w:p>
      <w:pPr>
        <w:keepLines/>
        <w:spacing w:line="240" w:lineRule="auto" w:after="60"/>
        <w:ind w:hanging="425" w:left="425"/>
      </w:pPr>
      <w:r>
        <w:rPr>
          <w:sz w:val="24"/>
        </w:rPr>
        <w:t>23. Adams P. A., Adrian T., Boyarchenko N., Giannone D. Forecasting macroeconomic risks. International Journal of Forecasting. 2021. Vol. 37. No. 3. P. 1173–1191. DOI: 10.1016/j.ijforecast.2021.01.003.</w:t>
      </w:r>
    </w:p>
    <w:p>
      <w:pPr>
        <w:keepLines/>
        <w:spacing w:line="240" w:lineRule="auto" w:after="60"/>
        <w:ind w:hanging="425" w:left="425"/>
      </w:pPr>
      <w:r>
        <w:rPr>
          <w:sz w:val="24"/>
        </w:rPr>
        <w:t>24. Figueres J. M., Jarociński M. Vulnerable growth in the euro area: Measuring the financial conditions. Economics Letters. 2020. Vol. 191. Article 109126. DOI: 10.1016/j.econlet.2020.109126.</w:t>
      </w:r>
    </w:p>
    <w:p>
      <w:pPr>
        <w:keepLines/>
        <w:spacing w:line="240" w:lineRule="auto" w:after="60"/>
        <w:ind w:hanging="425" w:left="425"/>
      </w:pPr>
      <w:r>
        <w:rPr>
          <w:sz w:val="24"/>
        </w:rPr>
        <w:t>25. Szendrei T., Varga K. Revisiting vulnerable growth in the Euro Area: Identifying the role of financial conditions in the distribution. Economics Letters. 2023. Vol. 223. Article 110990. DOI: 10.1016/j.econlet.2023.110990.</w:t>
      </w:r>
    </w:p>
    <w:p>
      <w:pPr>
        <w:keepLines/>
        <w:spacing w:line="240" w:lineRule="auto" w:after="60"/>
        <w:ind w:hanging="425" w:left="425"/>
      </w:pPr>
      <w:r>
        <w:rPr>
          <w:sz w:val="24"/>
        </w:rPr>
        <w:t>26. Plaasch J., Röthig A. A Growth-at-Risk Model for the German Economy. Deutsche Bundesbank Technical Paper No. 05/2025. 2025. URL: https://www.econstor.eu/bitstream/10419/333425/1/1943279594.pdf (дата обращения 16.10.2026).</w:t>
      </w:r>
    </w:p>
    <w:p>
      <w:pPr>
        <w:keepLines/>
        <w:spacing w:line="240" w:lineRule="auto" w:after="60"/>
        <w:ind w:hanging="425" w:left="425"/>
      </w:pPr>
      <w:r>
        <w:rPr>
          <w:sz w:val="24"/>
        </w:rPr>
        <w:t>27. Adrian T., Grinberg F., Liang N., Malik S., Yu J. The Term Structure of Growth-at-Risk. American Economic Journal: Macroeconomics. 2022. Vol. 14, No. 3. P. 283–323. DOI: 10.1257/mac.20180428.</w:t>
      </w:r>
    </w:p>
    <w:p>
      <w:pPr>
        <w:keepLines/>
        <w:spacing w:line="240" w:lineRule="auto" w:after="60"/>
        <w:ind w:hanging="425" w:left="425"/>
      </w:pPr>
      <w:r>
        <w:rPr>
          <w:sz w:val="24"/>
        </w:rPr>
        <w:t>28. Lang J. H., Rusnák M., Greiwe M. Medium-Term Growth-at-Risk in the Euro Area. ECB Working Paper No. 2808. 2023. URL: https://www.ecb.europa.eu/pub/pdf/scpwps/ecb.wp2808~573fdb4019.en.pdf (дата обращения 16.10.2026).</w:t>
      </w:r>
    </w:p>
    <w:p>
      <w:pPr>
        <w:keepLines/>
        <w:spacing w:line="240" w:lineRule="auto" w:after="60"/>
        <w:ind w:hanging="425" w:left="425"/>
      </w:pPr>
      <w:r>
        <w:rPr>
          <w:sz w:val="24"/>
        </w:rPr>
        <w:t>29. Ferrara L., Mogliani M., Sahuc J. G. High-frequency monitoring of growth at risk. International Journal of Forecasting. 2022. Vol. 38. No. 2. P. 582–595. DOI: 10.1016/j.ijforecast.2021.06.010.</w:t>
      </w:r>
    </w:p>
    <w:p>
      <w:pPr>
        <w:keepLines/>
        <w:spacing w:line="240" w:lineRule="auto" w:after="60"/>
        <w:ind w:hanging="425" w:left="425"/>
      </w:pPr>
      <w:r>
        <w:rPr>
          <w:sz w:val="24"/>
        </w:rPr>
        <w:t>30. De Santis R. A., Van der Veken W. Forecasting Macroeconomic Risk in Real Time: Great and Covid-19 Recessions. ECB Working Paper No. 2436. 2020. URL: https://doi.org/10.2139/ssrn.3641428 (дата обращения 16.10.2026).</w:t>
      </w:r>
    </w:p>
    <w:p>
      <w:pPr>
        <w:keepLines/>
        <w:spacing w:line="240" w:lineRule="auto" w:after="60"/>
        <w:ind w:hanging="425" w:left="425"/>
      </w:pPr>
      <w:r>
        <w:rPr>
          <w:sz w:val="24"/>
        </w:rPr>
        <w:t>31. Clark T. E., Huber F., Koop G., Marcellino M., Pfarrhofer M. Investigating Growth-at-Risk Using a Multicountry Nonparametric Quantile Factor Model. Journal of Business &amp; Economic Statistics. 2024. Vol. 42. No. 4. P. 1302–1317. DOI: 10.1080/07350015.2024.2310020.</w:t>
      </w:r>
    </w:p>
    <w:p>
      <w:pPr>
        <w:keepLines/>
        <w:spacing w:line="240" w:lineRule="auto" w:after="60"/>
        <w:ind w:hanging="425" w:left="425"/>
      </w:pPr>
      <w:r>
        <w:rPr>
          <w:sz w:val="24"/>
        </w:rPr>
        <w:t>32. Expert Group on Macro-at-Risk, Time-Series Workstream; Chahad M., Mogliani M. (eds.). Macro-at-Risk in the Euro Area. ECB Occasional Paper No. 396. 2026. DOI: 10.2866/6868685. URL: https://www.ecb.europa.eu/pub/pdf/scpops/ecb.op396.en.pdf (дата обращения 16.10.2026).</w:t>
      </w:r>
    </w:p>
    <w:p>
      <w:pPr>
        <w:keepLines/>
        <w:spacing w:line="240" w:lineRule="auto" w:after="60"/>
        <w:ind w:hanging="425" w:left="425"/>
      </w:pPr>
      <w:r>
        <w:rPr>
          <w:sz w:val="24"/>
        </w:rPr>
        <w:t>33. Plagborg-Møller M., Reichlin L., Ricco G., Hasenzagl T. When Is Growth at Risk? Brookings Papers on Economic Activity. 2020. Spring. P. 167–229. DOI: 10.1353/eca.2020.0002.</w:t>
      </w:r>
    </w:p>
    <w:p>
      <w:pPr>
        <w:keepLines/>
        <w:spacing w:line="240" w:lineRule="auto" w:after="60"/>
        <w:ind w:hanging="425" w:left="425"/>
      </w:pPr>
      <w:r>
        <w:rPr>
          <w:sz w:val="24"/>
        </w:rPr>
        <w:t>34. Brownlees C., Souza A. B. Backtesting global Growth-at-Risk. Journal of Monetary Economics. 2021. Vol. 118. P. 312–330. DOI: 10.1016/j.jmoneco.2020.11.003.</w:t>
      </w:r>
    </w:p>
    <w:p>
      <w:pPr>
        <w:keepLines/>
        <w:spacing w:line="240" w:lineRule="auto" w:after="60"/>
        <w:ind w:hanging="425" w:left="425"/>
      </w:pPr>
      <w:r>
        <w:rPr>
          <w:sz w:val="24"/>
        </w:rPr>
        <w:t>35. Amburgey A. J., McCracken M. W. On the real‐time predictive content of financial condition indices for growth. Journal of Applied Econometrics. 2023. Vol. 38. No. 2. P. 137–163. DOI: 10.1002/jae.2943.</w:t>
      </w:r>
    </w:p>
    <w:p>
      <w:pPr>
        <w:keepLines/>
        <w:spacing w:line="240" w:lineRule="auto" w:after="60"/>
        <w:ind w:hanging="425" w:left="425"/>
      </w:pPr>
      <w:r>
        <w:rPr>
          <w:sz w:val="24"/>
        </w:rPr>
        <w:t>36. Cho D., Rho S. Reassessing growth vulnerability. Journal of Applied Econometrics. 2024. Vol. 39. No. 1. P. 225–234. DOI: 10.1002/jae.3005.</w:t>
      </w:r>
    </w:p>
    <w:p>
      <w:pPr>
        <w:keepLines/>
        <w:spacing w:line="240" w:lineRule="auto" w:after="60"/>
        <w:ind w:hanging="425" w:left="425"/>
      </w:pPr>
      <w:r>
        <w:rPr>
          <w:sz w:val="24"/>
        </w:rPr>
        <w:t>37. Long W., Peng L., Yang B. Correlated Errors Challenge Vulnerable Growth. Journal of Applied Econometrics. 2025. Vol. 40. No. 6. P. 715–721. DOI: 10.1002/jae.3136.</w:t>
      </w:r>
    </w:p>
    <w:p>
      <w:pPr>
        <w:keepLines/>
        <w:spacing w:line="240" w:lineRule="auto" w:after="60"/>
        <w:ind w:hanging="425" w:left="425"/>
      </w:pPr>
      <w:r>
        <w:rPr>
          <w:sz w:val="24"/>
        </w:rPr>
        <w:t>38. Mitchell J., Poon A., Zhu D. Constructing density forecasts from quantile regressions: Multimodality in macrofinancial dynamics. Journal of Applied Econometrics. 2024. Vol. 39. No. 5. P. 790–812. DOI: 10.1002/jae.3049.</w:t>
      </w:r>
    </w:p>
    <w:p>
      <w:pPr>
        <w:keepLines/>
        <w:spacing w:line="240" w:lineRule="auto" w:after="60"/>
        <w:ind w:hanging="425" w:left="425"/>
      </w:pPr>
      <w:r>
        <w:rPr>
          <w:sz w:val="24"/>
        </w:rPr>
        <w:t>39. Adrian T., Sasaki Y., Wang Y. Robust Econometrics for Growth-at-Risk. Journal of Econometrics. 2026. Vol. 255. Article 106235. DOI: 10.1016/j.jeconom.2026.106235.</w:t>
      </w:r>
    </w:p>
    <w:p>
      <w:pPr>
        <w:keepLines/>
        <w:spacing w:line="240" w:lineRule="auto" w:after="60"/>
        <w:ind w:hanging="425" w:left="425"/>
      </w:pPr>
      <w:r>
        <w:rPr>
          <w:sz w:val="24"/>
        </w:rPr>
        <w:t>40. Carriero A., Clark T. E., Marcellino M., Mertens E. Addressing COVID-19 Outliers in BVARs with Stochastic Volatility. Review of Economics and Statistics. 2024. Vol. 106. No. 5. P. 1403–1417. DOI: 10.1162/rest_a_01213.</w:t>
      </w:r>
    </w:p>
    <w:p>
      <w:pPr>
        <w:keepLines/>
        <w:spacing w:line="240" w:lineRule="auto" w:after="60"/>
        <w:ind w:hanging="425" w:left="425"/>
      </w:pPr>
      <w:r>
        <w:rPr>
          <w:sz w:val="24"/>
        </w:rPr>
        <w:t>41. Gneiting T., Raftery A. E. Strictly Proper Scoring Rules, Prediction, and Estimation. Journal of the American Statistical Association. 2007. Vol. 102. No. 477. P. 359–378. DOI: 10.1198/016214506000001437.</w:t>
      </w:r>
    </w:p>
    <w:p>
      <w:pPr>
        <w:keepLines/>
        <w:spacing w:line="240" w:lineRule="auto" w:after="60"/>
        <w:ind w:hanging="425" w:left="425"/>
      </w:pPr>
      <w:r>
        <w:rPr>
          <w:sz w:val="24"/>
        </w:rPr>
        <w:t>42. Gneiting T., Ranjan R. Comparing Density Forecasts Using Threshold- and Quantile-Weighted Scoring Rules. Journal of Business &amp; Economic Statistics. 2011. Vol. 29. No. 3. P. 411–422. DOI: 10.1198/jbes.2010.08110.</w:t>
      </w:r>
    </w:p>
    <w:p>
      <w:pPr>
        <w:keepLines/>
        <w:spacing w:line="240" w:lineRule="auto" w:after="60"/>
        <w:ind w:hanging="425" w:left="425"/>
      </w:pPr>
      <w:r>
        <w:rPr>
          <w:sz w:val="24"/>
        </w:rPr>
        <w:t>43. Corradi V., Fosten J., Gutknecht D. Out-of-Sample Tests for Conditional Quantile Coverage an Application to Growth-at-Risk. Journal of Econometrics. 2023. Vol. 236, No. 2. Article 105490. DOI: 10.1016/j.jeconom.2023.105490.</w:t>
      </w:r>
    </w:p>
    <w:p>
      <w:pPr>
        <w:keepLines/>
        <w:spacing w:line="240" w:lineRule="auto" w:after="60"/>
        <w:ind w:hanging="425" w:left="425"/>
      </w:pPr>
      <w:r>
        <w:rPr>
          <w:sz w:val="24"/>
        </w:rPr>
        <w:t>44. Giacomini R., White H. Tests of Conditional Predictive Ability. Econometrica. 2006. Vol. 74, No. 6. P. 1545–1578. DOI: 10.1111/j.1468-0262.2006.00718.x.</w:t>
      </w:r>
    </w:p>
    <w:sectPr w:rsidR="00FC693F" w:rsidRPr="0006063C" w:rsidSect="00034616">
      <w:footerReference w:type="default" r:id="rId9"/>
      <w:pgSz w:w="11906" w:h="16838"/>
      <w:pgMar w:top="1134" w:right="850" w:bottom="1134"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Hatzius J., Hooper P., Mishkin F. S., Schoenholtz K. L., Watson M. W. Financial Conditions Indexes: A Fresh Look after the Financial Crisis. NBER Working Paper No. 16150. 2010. DOI: 10.3386/w16150.</w:t>
      </w:r>
    </w:p>
  </w:footnote>
  <w:footnote w:id="2">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Brave S., Butters R. A. Monitoring Financial Stability: A Financial Conditions Index Approach. Economic Perspectives, Federal Reserve Bank of Chicago. 2011. Vol. 35, No. 1. P. 22–43.</w:t>
      </w:r>
    </w:p>
  </w:footnote>
  <w:footnote w:id="3">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Brave S., Butters R. A. Diagnosing the Financial System: Financial Conditions and Financial Stress. International Journal of Central Banking. 2012. Vol. 8, No. 2. P. 191–239.</w:t>
      </w:r>
    </w:p>
  </w:footnote>
  <w:footnote w:id="4">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Arrigoni S., Bobasu A., Venditti F. Measuring Financial Conditions using Equal Weights Combination. IMF Economic Review. 2022. Vol. 70. No. 4. P. 668–697. DOI: 10.1057/s41308-022-00170-y.</w:t>
      </w:r>
    </w:p>
  </w:footnote>
  <w:footnote w:id="5">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Holló D., Kremer M., Lo Duca M. CISS — A Composite Indicator of Systemic Stress in the Financial System. ECB Working Paper No. 1426. 2012. Chavleishvili S., Kremer M. Measuring Systemic Financial Stress and Its Risks for Growth. ECB Working Paper No. 2842. 2023.</w:t>
      </w:r>
    </w:p>
  </w:footnote>
  <w:footnote w:id="6">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Brave S., Butters R. A. Monitoring Financial Stability: A Financial Conditions Index Approach. Economic Perspectives, Federal Reserve Bank of Chicago. 2011. Vol. 35, No. 1. P. 22–43.</w:t>
      </w:r>
    </w:p>
  </w:footnote>
  <w:footnote w:id="7">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Brave S. A., Kelley D. Introducing the Chicago Fed’s New Adjusted National Financial Conditions Index. Chicago Fed Letter. 2017. No. 386.</w:t>
      </w:r>
    </w:p>
  </w:footnote>
  <w:footnote w:id="8">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Bletzinger T., Martorana G., Mistak J. Looser, Tighter, Clearer: A New Financial Conditions Index for the Euro Area. ECB Working Paper No. 3193. 2026. DOI: 10.2866/8467971.</w:t>
      </w:r>
    </w:p>
  </w:footnote>
  <w:footnote w:id="9">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Miranda-Agrippino S., Rey H. U.S. Monetary Policy and the Global Financial Cycle. Review of Economic Studies. 2020. Vol. 87, No. 6. P. 2754–2776. DOI: 10.1093/restud/rdaa019.</w:t>
      </w:r>
    </w:p>
  </w:footnote>
  <w:footnote w:id="10">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Habib M. M., Venditti F. The Global Financial Cycle: Implications for the Global Economy and the Euro Area. ECB Economic Bulletin. 2018. Issue 6. Matheson T. D. Financial Conditions Indexes for the United States and Euro Area. IMF Working Paper No. 11/93. 2011. DOI: 10.5089/9781455253326.001.</w:t>
      </w:r>
    </w:p>
  </w:footnote>
  <w:footnote w:id="11">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Bruno V., Shin H. S. Cross-Border Banking and Global Liquidity. BIS Working Paper No. 458. 2014. Журнальная версия: Review of Economic Studies. 2015. Vol. 82, No. 2. P. 535–564.</w:t>
      </w:r>
    </w:p>
  </w:footnote>
  <w:footnote w:id="12">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Kaufmann C. Investment Funds, Monetary Policy, and the Global Financial Cycle. ECB Working Paper No. 2489. 2020. Revised December 2022.</w:t>
      </w:r>
    </w:p>
  </w:footnote>
  <w:footnote w:id="13">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Bernanke B. S., Gertler M., Gilchrist S. The Financial Accelerator in a Quantitative Business Cycle Framework. NBER Working Paper No. 6455. 1998. DOI: 10.3386/w6455.</w:t>
      </w:r>
    </w:p>
  </w:footnote>
  <w:footnote w:id="14">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Miranda-Agrippino S., Rey H. U.S. Monetary Policy and the Global Financial Cycle. Review of Economic Studies. 2020. Vol. 87, No. 6. P. 2754–2776. DOI: 10.1093/restud/rdaa019.</w:t>
      </w:r>
    </w:p>
  </w:footnote>
  <w:footnote w:id="15">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Dovern J., van Roye B. International transmission and business-cycle effects of financial stress. Journal of Financial Stability. 2014. Vol. 13. P. 1–17. DOI: 10.1016/j.jfs.2014.02.006. Dajčman S., Kavkler A., Mikek P., Romih D. Transmission of Financial Stress Shocks between the USA and the Euro Area During Different Business Cycle Phases. E&amp;M Economics and Management. 2020. Vol. 23, No. 4. P. 152–165. DOI: 10.15240/tul/001/2020-4-010.</w:t>
      </w:r>
    </w:p>
  </w:footnote>
  <w:footnote w:id="16">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Altınkeski B. K., Cevik E. I., Dibooglu S., Kutan A. M. Financial stress transmission between the U.S. and the Euro Area. Journal of Financial Stability. 2022. Vol. 60. Article 101004. DOI: 10.1016/j.jfs.2022.101004. Apostolakis G. N., Giannellis N. International financial stress spillovers during times of unconventional monetary policy interventions. Journal of Financial Stability. 2024. Vol. 72. Article 101259. DOI: 10.1016/j.jfs.2024.101259.</w:t>
      </w:r>
    </w:p>
  </w:footnote>
  <w:footnote w:id="17">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Brandt L., Saint Guilhem A., Schröder M., Van Robays I. What Drives Euro Area Financial Markets? The Role of US Spillovers and Global Risk. ECB Working Paper No. 2560. 2021. Revised March 2026.</w:t>
      </w:r>
    </w:p>
  </w:footnote>
  <w:footnote w:id="18">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Habib M. M., Venditti F. The Global Financial Cycle: Implications for the Global Economy and the Euro Area. ECB Economic Bulletin. 2018. Issue 6.</w:t>
      </w:r>
    </w:p>
  </w:footnote>
  <w:footnote w:id="19">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Prasad A., Elekdag S., Jeasakul P., Lafarguette R., Alter A., Feng A. X., Wang C. Growth at Risk: Concept and Application in IMF Country Surveillance. IMF Working Paper No. 19/36. 2019. DOI: 10.5089/9781484397015.001.</w:t>
      </w:r>
    </w:p>
  </w:footnote>
  <w:footnote w:id="20">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Koenker R., Bassett G. Regression Quantiles. Econometrica. 1978. Vol. 46, No. 1. P. 33–50. DOI: 10.2307/1913643.</w:t>
      </w:r>
    </w:p>
  </w:footnote>
  <w:footnote w:id="21">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Adrian T., Boyarchenko N., Giannone D. Vulnerable Growth. American Economic Review. 2019. Vol. 109. No. 4. P. 1263–1289. DOI: 10.1257/aer.20161923.</w:t>
      </w:r>
    </w:p>
  </w:footnote>
  <w:footnote w:id="22">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Adams P. A., Adrian T., Boyarchenko N., Giannone D. Forecasting macroeconomic risks. International Journal of Forecasting. 2021. Vol. 37. No. 3. P. 1173–1191. DOI: 10.1016/j.ijforecast.2021.01.003.</w:t>
      </w:r>
    </w:p>
  </w:footnote>
  <w:footnote w:id="23">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Figueres J. M., Jarociński M. Vulnerable growth in the euro area: Measuring the financial conditions. Economics Letters. 2020. Vol. 191. Article 109126. DOI: 10.1016/j.econlet.2020.109126.</w:t>
      </w:r>
    </w:p>
  </w:footnote>
  <w:footnote w:id="24">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Szendrei T., Varga K. Revisiting vulnerable growth in the Euro Area: Identifying the role of financial conditions in the distribution. Economics Letters. 2023. Vol. 223. Article 110990. DOI: 10.1016/j.econlet.2023.110990. Chavleishvili S., Kremer M. Measuring Systemic Financial Stress and Its Risks for Growth. ECB Working Paper No. 2842. 2023.</w:t>
      </w:r>
    </w:p>
  </w:footnote>
  <w:footnote w:id="25">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Plaasch J., Röthig A. A Growth-at-Risk Model for the German Economy. Deutsche Bundesbank Technical Paper No. 05/2025. 2025.</w:t>
      </w:r>
    </w:p>
  </w:footnote>
  <w:footnote w:id="26">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Adrian T., Grinberg F., Liang N., Malik S., Yu J. The Term Structure of Growth-at-Risk. American Economic Journal: Macroeconomics. 2022. Vol. 14, No. 3. P. 283–323. DOI: 10.1257/mac.20180428. Lang J. H., Rusnák M., Greiwe M. Medium-Term Growth-at-Risk in the Euro Area. ECB Working Paper No. 2808. 2023.</w:t>
      </w:r>
    </w:p>
  </w:footnote>
  <w:footnote w:id="27">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Ferrara L., Mogliani M., Sahuc J. G. High-frequency monitoring of growth at risk. International Journal of Forecasting. 2022. Vol. 38. No. 2. P. 582–595. DOI: 10.1016/j.ijforecast.2021.06.010. De Santis R. A., Van der Veken W. Forecasting Macroeconomic Risk in Real Time: Great and Covid-19 Recessions. ECB Working Paper No. 2436. 2020.</w:t>
      </w:r>
    </w:p>
  </w:footnote>
  <w:footnote w:id="28">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Clark T. E., Huber F., Koop G., Marcellino M., Pfarrhofer M. Investigating Growth-at-Risk Using a Multicountry Nonparametric Quantile Factor Model. Journal of Business &amp; Economic Statistics. 2024. Vol. 42. No. 4. P. 1302–1317. DOI: 10.1080/07350015.2024.2310020. Expert Group on Macro-at-Risk, Time-Series Workstream; Chahad M., Mogliani M. (eds.). Macro-at-Risk in the Euro Area. ECB Occasional Paper No. 396. 2026. DOI: 10.2866/6868685.</w:t>
      </w:r>
    </w:p>
  </w:footnote>
  <w:footnote w:id="29">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Plagborg-Møller M., Reichlin L., Ricco G., Hasenzagl T. When Is Growth at Risk? Brookings Papers on Economic Activity. 2020. Spring. P. 167–229. DOI: 10.1353/eca.2020.0002.</w:t>
      </w:r>
    </w:p>
  </w:footnote>
  <w:footnote w:id="30">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Brownlees C., Souza A. B. Backtesting global Growth-at-Risk. Journal of Monetary Economics. 2021. Vol. 118. P. 312–330. DOI: 10.1016/j.jmoneco.2020.11.003.</w:t>
      </w:r>
    </w:p>
  </w:footnote>
  <w:footnote w:id="31">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Amburgey A. J., McCracken M. W. On the real‐time predictive content of financial condition indices for growth. Journal of Applied Econometrics. 2023. Vol. 38. No. 2. P. 137–163. DOI: 10.1002/jae.2943.</w:t>
      </w:r>
    </w:p>
  </w:footnote>
  <w:footnote w:id="32">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Matheson T. D. Financial Conditions Indexes for the United States and Euro Area. IMF Working Paper No. 11/93. 2011. DOI: 10.5089/9781455253326.001.</w:t>
      </w:r>
    </w:p>
  </w:footnote>
  <w:footnote w:id="33">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Cho D., Rho S. Reassessing growth vulnerability. Journal of Applied Econometrics. 2024. Vol. 39. No. 1. P. 225–234. DOI: 10.1002/jae.3005. Long W., Peng L., Yang B. Correlated Errors Challenge Vulnerable Growth. Journal of Applied Econometrics. 2025. Vol. 40. No. 6. P. 715–721. DOI: 10.1002/jae.3136.</w:t>
      </w:r>
    </w:p>
  </w:footnote>
  <w:footnote w:id="34">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Mitchell J., Poon A., Zhu D. Constructing density forecasts from quantile regressions: Multimodality in macrofinancial dynamics. Journal of Applied Econometrics. 2024. Vol. 39. No. 5. P. 790–812. DOI: 10.1002/jae.3049. Adrian T., Sasaki Y., Wang Y. Robust Econometrics for Growth-at-Risk. Journal of Econometrics. 2026. Vol. 255. Article 106235. DOI: 10.1016/j.jeconom.2026.106235.</w:t>
      </w:r>
    </w:p>
  </w:footnote>
  <w:footnote w:id="35">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Carriero A., Clark T. E., Marcellino M., Mertens E. Addressing COVID-19 Outliers in BVARs with Stochastic Volatility. Review of Economics and Statistics. 2024. Vol. 106. No. 5. P. 1403–1417. DOI: 10.1162/rest_a_01213.</w:t>
      </w:r>
    </w:p>
  </w:footnote>
  <w:footnote w:id="36">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Gneiting T., Raftery A. E. Strictly Proper Scoring Rules, Prediction, and Estimation. Journal of the American Statistical Association. 2007. Vol. 102. No. 477. P. 359–378. DOI: 10.1198/016214506000001437. Gneiting T., Ranjan R. Comparing Density Forecasts Using Threshold- and Quantile-Weighted Scoring Rules. Journal of Business &amp; Economic Statistics. 2011. Vol. 29. No. 3. P. 411–422. DOI: 10.1198/jbes.2010.08110.</w:t>
      </w:r>
    </w:p>
  </w:footnote>
  <w:footnote w:id="37">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Corradi V., Fosten J., Gutknecht D. Out-of-Sample Tests for Conditional Quantile Coverage an Application to Growth-at-Risk. Journal of Econometrics. 2023. Vol. 236, No. 2. Article 105490. DOI: 10.1016/j.jeconom.2023.105490.</w:t>
      </w:r>
    </w:p>
  </w:footnote>
  <w:footnote w:id="38">
    <w:p>
      <w:pPr>
        <w:pStyle w:val="FootnoteText"/>
        <w:keepLines/>
        <w:spacing w:line="240" w:lineRule="auto" w:before="0" w:after="0"/>
      </w:pPr>
      <w:r>
        <w:rPr>
          <w:sz w:val="20"/>
          <w:rFonts w:ascii="Times New Roman" w:hAnsi="Times New Roman" w:cs="Times New Roman" w:eastAsia="Times New Roman"/>
        </w:rPr>
        <w:footnoteRef/>
      </w:r>
      <w:r>
        <w:rPr>
          <w:sz w:val="20"/>
          <w:rFonts w:ascii="Times New Roman" w:hAnsi="Times New Roman" w:cs="Times New Roman" w:eastAsia="Times New Roman"/>
        </w:rPr>
        <w:t> Giacomini R., White H. Tests of Conditional Predictive Ability. Econometrica. 2006. Vol. 74, No. 6. P. 1545–1578. DOI: 10.1111/j.1468-0262.2006.00718.x. Amburgey A. J., McCracken M. W. On the real‐time predictive content of financial condition indices for growth. Journal of Applied Econometrics. 2023. Vol. 38. No. 2. P. 137–163. DOI: 10.1002/jae.2943.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360" w:lineRule="auto"/>
      <w:ind w:firstLine="709"/>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widowControl/>
      <w:spacing w:before="0" w:after="120" w:line="360" w:lineRule="auto"/>
      <w:ind w:firstLine="0"/>
      <w:jc w:val="center"/>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360" w:lineRule="auto" w:before="0"/>
      <w:ind w:firstLine="0"/>
      <w:contextualSpacing/>
      <w:jc w:val="left"/>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after="0" w:before="0" w:line="240" w:lineRule="auto"/>
      <w:ind w:firstLine="0"/>
    </w:pPr>
    <w:rPr>
      <w:rFonts w:ascii="Times New Roman" w:hAnsi="Times New Roman" w:eastAsia="Times New Roman" w:cs="Times New Roman"/>
      <w:color w:val="000000"/>
      <w:sz w:val="20"/>
    </w:rPr>
  </w:style>
  <w:style w:type="character" w:customStyle="1" w:styleId="FootnoteReference">
    <w:name w:val="Footnote Reference"/>
    <w:rPr>
      <w:rFonts w:ascii="Times New Roman" w:hAnsi="Times New Roman" w:eastAsia="Times New Roman" w:cs="Times New Roman"/>
      <w:color w:val="000000"/>
      <w:sz w:val="20"/>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1 Теоретические основы международной передачи финансовых условий и прогнозирования рисков роста</dc:title>
  <dc:subject>Финансовые условия США в прогнозировании рисков роста еврозоны</dc:subject>
  <dc:creator/>
  <cp:keywords>Growth at Risk; NFCI; ANFCI; еврозона; международные финансовые связи</cp:keywords>
  <dc:description>generated by python-docx</dc:description>
  <cp:lastModifiedBy/>
  <cp:revision>1</cp:revision>
  <dcterms:created xsi:type="dcterms:W3CDTF">2013-12-23T23:15:00Z</dcterms:created>
  <dcterms:modified xsi:type="dcterms:W3CDTF">2013-12-23T23:15:00Z</dcterms:modified>
  <cp:category/>
</cp:coreProperties>
</file>