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Финансовые условия США в прогнозировании рисков роста еврозоны</w:t>
      </w:r>
    </w:p>
    <w:p>
      <w:r>
        <w:t>Предложение по теме и дизайну выпускной квалификационной работы</w:t>
      </w:r>
    </w:p>
    <w:p>
      <w:r>
        <w:t>Для обсуждения с научным руководителем • 5 октября 2026 года</w:t>
      </w:r>
    </w:p>
    <w:p>
      <w:pPr>
        <w:pStyle w:val="Heading1"/>
      </w:pPr>
      <w:r>
        <w:t>1 Идея исследования</w:t>
      </w:r>
    </w:p>
    <w:p>
      <w:r>
        <w:t>Предлагаю исследовать, помогают ли финансовые условия США прогнозировать неблагоприятные сценарии роста экономики еврозоны, если в модели уже учтены европейский финансовый стресс, экономические настроения и предшествующая динамика ВВП. Работу планирую построить на подходе Growth-at-Risk и сравнении двух американских индикаторов: широкого индекса финансовых условий NFCI и индекса системного финансового стресса CISS.</w:t>
      </w:r>
    </w:p>
    <w:p>
      <w:r>
        <w:t>В центре исследования будет следующий вопрос: улучшают ли американские индикаторы прогнозирование нижнего квантиля роста реального ВВП еврозоны и насколько устойчиво это улучшение к выбору индикатора, горизонта, способа обучения модели и экстремальным наблюдениям?</w:t>
      </w:r>
    </w:p>
    <w:p>
      <w:r>
        <w:t>Цель работы — оценить дополнительную прогнозную информацию финансовых условий США и определить границы её полезности для анализа рисков роста еврозоны. Объект исследования — распределение будущего роста реального ВВП еврозоны. Предмет — связь американских финансовых индикаторов с нижней частью этого распределения при учёте европейских показателей.</w:t>
      </w:r>
    </w:p>
    <w:p>
      <w:r>
        <w:t>Growth-at-Risk позволяет рассматривать не только средний ожидаемый рост, но и неблагоприятную часть его распределения. В основной спецификации оценивается десятый процентиль: при корректной условной калибровке ниже соответствующего прогноза должно оказываться около 10% последующих реализаций роста. Это оценка неблагоприятного сценария, а не вероятность рецессии и не максимально возможный спад.</w:t>
      </w:r>
    </w:p>
    <w:p>
      <w:r>
        <w:t>Актуальность связываю с международной передачей финансовых условий и необходимостью оценивать устойчивость моделей в разных экономических режимах. Подпериод 2022–2025 годов позволит отдельно рассмотреть более поздние наблюдения. При этом я не предлагаю делать пандемию самостоятельной темой диплома или ограничивать всю проверку коротким периодом после неё. Экстремальные значения 2020–2021 годов важны как проверка поведения модели и сохраняются в основном анализе.</w:t>
      </w:r>
    </w:p>
    <w:p>
      <w:r>
        <w:t>Связь с направлением «Мировая экономика» состоит в трансграничной постановке: оценивается информация финансового рынка одной крупной экономики для рисков роста другой. Работа не ограничивается оценкой внутренней связи финансового стресса и ВВП.</w:t>
      </w:r>
    </w:p>
    <w:p>
      <w:pPr>
        <w:pStyle w:val="Heading1"/>
      </w:pPr>
      <w:r>
        <w:t>2 Экономическая логика и проверяемые предположения</w:t>
      </w:r>
    </w:p>
    <w:p>
      <w:r>
        <w:t>Изменения финансовых условий США могут сопровождаться изменениями глобального спроса на риск, стоимости фондирования, цен активов и состояния финансовых посредников. Через международные финансовые связи эта информация может быть полезна для оценки европейских рисков. Однако европейские показатели уже способны отражать значительную часть общего сигнала. Поэтому добавление американской переменной не обязательно улучшит прогноз: оно может также увеличить шум и нестабильность оценивания.</w:t>
      </w:r>
    </w:p>
    <w:p>
      <w:r>
        <w:t>Сравнение NFCI и CISS имеет экономический смысл. NFCI охватывает широкий набор финансовых условий, включая риск, кредит и финансовый рычаг. CISS ориентирован на системный стресс и совместное напряжение в нескольких сегментах рынка. Они отличаются составом исходных показателей и способом агрегирования. Поэтому я сравниваю два способа измерения финансовой среды США, не предполагая заранее, что один из них лучше [5; 10].</w:t>
      </w:r>
    </w:p>
    <w:p>
      <w:r>
        <w:t>Основное предположение — американский индикатор способен уменьшить среднюю ошибку квантильного прогноза относительно модели с европейскими переменными. Дополнительные вопросы — различается ли полезность NFCI и CISS, сохраняется ли результат на горизонте четырёх кварталов и не создаётся ли кажущееся преимущество несколькими необычными наблюдениями.</w:t>
      </w:r>
    </w:p>
    <w:p>
      <w:r>
        <w:t>При этом исследование имеет прогнозную, а не причинную постановку. Коэффициент американского индикатора не будет интерпретироваться как чистый эффект шока США. Регрессия не отделяет такой шок от глобального фактора, обратной связи и синхронной реакции рынков на новости. Для причинной идентификации потребовался бы другой дизайн.</w:t>
      </w:r>
    </w:p>
    <w:p>
      <w:pPr>
        <w:pStyle w:val="Heading1"/>
      </w:pPr>
      <w:r>
        <w:t>3 Близкие исследования и место предлагаемой работы</w:t>
      </w:r>
    </w:p>
    <w:p>
      <w:r>
        <w:t>Adrian, Boyarchenko и Giannone (2019), Vulnerable Growth [1]. Это базовая работа для выбранного подхода: финансовые условия рассматриваются как фактор распределения будущего роста, особенно его нижнего хвоста. Для моего исследования она задаёт общую рамку квантильного анализа. Я не предлагаю новый метод Growth-at-Risk, а использую существующую рамку для конкретного международного сравнения.</w:t>
      </w:r>
    </w:p>
    <w:p>
      <w:r>
        <w:t>Figueres и Jarociński (2020), Vulnerable Growth in the Euro Area: Measuring the Financial Conditions [2]. Авторы исследуют, какие финансовые показатели информативны для рисков роста еврозоны, и показывают полезность CISS. Работа непосредственно связана с выбором европейского финансового предиктора. Моё отличие — проверка дополнительной информации американских индикаторов при уже включённых европейском стрессе и экономических настроениях. Основным будет квартальный горизонт; годовой горизонт сохранится как дополнительный. Важно также различать исходный CISS и используемую мной обновлённую ежедневную версию New CISS.</w:t>
      </w:r>
    </w:p>
    <w:p>
      <w:r>
        <w:t>Szendrei и Varga (2023), Revisiting Vulnerable Growth in the Euro Area: Identifying the Role of Financial Conditions in the Distribution [3]. Авторы изучают выбор финансовых переменных для разных частей распределения роста, используя адаптивную LASSO и ограничения непересечения квантилей. Эта работа показывает, что вопрос отбора финансовых индикаторов для еврозоны уже развит в литературе. В своём проекте я ограничиваюсь заранее определёнными моделями и двумя американскими показателями, делая акцент на сопоставимости проверки и интерпретации устойчивости, а не на новом алгоритме отбора переменных.</w:t>
      </w:r>
    </w:p>
    <w:p>
      <w:r>
        <w:t>Plaasch и Röthig (2025), A Growth-at-Risk Model for the German Economy [4]. Это наиболее близкий прикладной аналог: в модели для Германии объединяются внутренний финансовый стресс, американский NFCI, настроения бизнеса и динамика ВВП. Авторы сравнивают множество спецификаций и используют исторические информационные наборы ВВП. Следовательно, само включение NFCI в европейскую модель не является новизной моей работы. Отличия моего дизайна — агрегат еврозоны вместо Германии, прямое сравнение NFCI и CISS США и подробный разбор чувствительности к экстраполяции роста. По исторической реалистичности данных мой текущий эксперимент уступает этому аналогу; я не буду представлять его как полную репликацию.</w:t>
      </w:r>
    </w:p>
    <w:p>
      <w:r>
        <w:t>Chavleishvili и Kremer (2023), Measuring Systemic Financial Stress and Its Risks for Growth [5]. Работа обосновывает обновлённые показатели системного стресса, в том числе для еврозоны и США. Она необходима для объяснения конструкции New CISS и отличий системного стресса от широких финансовых условий. Я использую готовые индексы, не конструируя собственный показатель и не воспроизводя структурную модель авторов.</w:t>
      </w:r>
    </w:p>
    <w:p>
      <w:r>
        <w:t>Amburgey и McCracken (2023), On the Real-Time Predictive Content of Financial Condition Indices for Growth [6]. Авторы рассматривают NFCI и условные квантили роста США с учётом исторических версий данных. Для моего проекта эта работа важна как предупреждение о том, что результаты на пересмотренных рядах не равнозначны прогнозу с информацией, доступной в прошлом. Моя постановка отличается целевой экономикой и сравнением индикаторов; полученные результаты нельзя считать опровержением их выводов.</w:t>
      </w:r>
    </w:p>
    <w:p>
      <w:r>
        <w:t>Corradi, Fosten и Gutknecht (2023), Out-of-Sample Tests for Conditional Quantile Coverage: An Application to Growth-at-Risk [7]. Работа посвящена проверке условного покрытия квантильных прогнозов, включая сложные случаи сравнения моделей. Использую её для разграничения точности по функции потерь и калибровки квантиля. Предложенный авторами wild bootstrap в текущем проекте не реализован; имеющиеся диагностические процедуры не будут называться его аналогом.</w:t>
      </w:r>
    </w:p>
    <w:p>
      <w:r>
        <w:t>Giacomini и White (2006), Tests of Conditional Predictive Ability [8]. Методологическая работа позволяет обсуждать сравнение прогнозных методов, включая способ оценивания и ограниченное окно обучения. На её безусловный вариант опирается дополнительная проверка с фиксированным окном. Условия применимости и ограничения малой выборки будут прямо указаны.</w:t>
      </w:r>
    </w:p>
    <w:p>
      <w:r>
        <w:t>Таким образом, предполагаемый самостоятельный вклад — сопоставление добавочной информации NFCI и CISS США для нижнего квантиля роста еврозоны на одинаковых датах и объяснение зависимости результата от ориентира сравнения, горизонта и экстремальных значений. Новизну считаю прикладной и умеренной. Заявления о первом применении метода, новом финансовом механизме или первом включении американского индикатора не планирую.</w:t>
      </w:r>
    </w:p>
    <w:p>
      <w:pPr>
        <w:pStyle w:val="Heading1"/>
      </w:pPr>
      <w:r>
        <w:t>4 Данные и их доступность</w:t>
      </w:r>
    </w:p>
    <w:p>
      <w:r>
        <w:t>Основная квартальная выборка охватывает 1995Q1–2025Q4. Ранние наблюдения используются для начального обучения, вневыборочная проверка начинается с 2010Q1. После преобразования данных и учёта горизонтов остаются 63 сопоставимых прогноза на один квартал и 60 — на четыре квартала. Прогнозы заканчиваются так, чтобы целевой период не выходил за 2025Q4.</w:t>
      </w:r>
    </w:p>
    <w:p>
      <w:r>
        <w:t>Реальный ВВП — квартальный ряд Eurostat для фиксированного состава еврозоны EA20, с сезонной и календарной корректировкой. Используется объёмный показатель, а не номинальный ВВП. Он служит основой для расчёта целевого роста и его лага. Источник — набор квартальных национальных счетов namq_10_gdp [9]. Фиксированный EA20 выбран для сопоставимости целевой экономики во времени; исторический агрегат не означает, что такой состав еврозоны существовал во все годы выборки.</w:t>
      </w:r>
    </w:p>
    <w:p>
      <w:r>
        <w:t>Европейские экономические настроения — месячный Economic Sentiment Indicator, ESI, для EA20. Источник — опросы Европейской комиссии и их распространение через Eurostat, набор ei_bssi_m_r2, показатель BS-ESI-I. В текущем дизайне использую среднее первых двух месяцев квартала, чтобы не опираться на последний месячный релиз на границе квартала [9].</w:t>
      </w:r>
    </w:p>
    <w:p>
      <w:r>
        <w:t>Европейский и американский финансовый стресс — ежедневные New CISS из ECB Data Portal. Используются ряды CISS.D.U2.Z0Z.4F.EC.SS_CIN.IDX и CISS.D.US.Z0Z.4F.EC.SS_CIN.IDX. Показатели агрегируются в квартальные средние с ограничением по условной дате доступности [11].</w:t>
      </w:r>
    </w:p>
    <w:p>
      <w:r>
        <w:t>Широкие финансовые условия США — недельный National Financial Conditions Index, NFCI, Федерального резервного банка Чикаго; ряд доступен через FRED, исторические версии — через ALFRED. Индекс агрегируется в квартальную частоту. Положительные значения характеризуют более жёсткие, отрицательные — более мягкие финансовые условия относительно исторического среднего [10].</w:t>
      </w:r>
    </w:p>
    <w:p>
      <w:r>
        <w:t>Основные ряды собраны и использованы в предварительных расчётах. Дополнительно проверена практическая выгрузка NFCI в версии на 31 декабря 2020 года и получен официальный файл пересмотров ВВП еврозоны. Это подтверждает наличие отдельных исторических источников, но полный согласованный набор версий всех переменных на каждую дату прогноза пока не построен.</w:t>
      </w:r>
    </w:p>
    <w:p>
      <w:r>
        <w:t>Два ограничения данных принципиальны. Во-первых, европейский CISS относится к меняющемуся составу U2, тогда как ВВП и ESI — к EA20; его рассматриваю как индикатор общеевропейской финансовой среды, не утверждая, что различие состава не влияет на оценки. Во-вторых, основной эксперимент использует пересмотренные исторические данные. Календарные ограничения не устраняют последующие пересмотры и ретроспективное построение индексов. Поэтому корректное определение дизайна — псевдовневыборочная проверка на пересмотренных данных.</w:t>
      </w:r>
    </w:p>
    <w:p>
      <w:pPr>
        <w:pStyle w:val="Heading1"/>
      </w:pPr>
      <w:r>
        <w:t>5 Эконометрическая модель</w:t>
      </w:r>
    </w:p>
    <w:p>
      <w:r>
        <w:t>Пусть Yₜ — реальный ВВП еврозоны за квартал t. Целевая переменная для горизонта h задаётся следующим образом:</w:t>
      </w:r>
    </w:p>
    <w:p>
      <w:r>
        <w:t>Gₜ,ₕ = (400 / h) × ln(Yₜ₊ₕ / Yₜ),  h ∈ {1, 4}.</w:t>
      </w:r>
    </w:p>
    <w:p>
      <w:r>
        <w:t>Это накопленный за h кварталов логарифмический рост, приведённый к годовому темпу. При h = 1 он соответствует годовому выражению квартального роста; при h = 4 — логарифмическому росту за год. При больших изменениях он не совпадает с обычным процентным темпом.</w:t>
      </w:r>
    </w:p>
    <w:p>
      <w:r>
        <w:t>Основная расширенная спецификация для τ = 0,10:</w:t>
      </w:r>
    </w:p>
    <w:p>
      <w:r>
        <w:t>Qτ(Gₜ,ₕ | Xₜ) = αₕ + βₕgₜ₋₁ + γₕCISSᴱᴬₜ + δₕESIᴱᴬₜ + θₕFᵁˢₜ.</w:t>
      </w:r>
    </w:p>
    <w:p>
      <w:r>
        <w:t>Здесь gₜ₋₁ = 400 × ln(Yₜ₋₁ / Yₜ₋₂) — предшествующий квартальный рост, приведённый к годовому темпу; Fᵁˢₜ — NFCI либо CISS США. Европейские CISS и ESI контролируют внутреннюю финансовую среду и ожидания экономических агентов. Американские индикаторы включаются по отдельности, чтобы непосредственно сравнить их добавочную информацию и не перегружать короткую выборку.</w:t>
      </w:r>
    </w:p>
    <w:p>
      <w:r>
        <w:t>Сравниваются пять вариантов. HIST — исторический десятый процентиль целевого роста в обучающей выборке. AR — квантильная модель только с константой и лагом роста. BASE — лаг роста, европейский CISS и ESI. US_NFCI и US_CISS — BASE с соответствующим американским индикатором. HIST нужен как простой ориентир: выигрыш у европейской регрессии ещё не означает, что более сложная модель полезнее простого правила.</w:t>
      </w:r>
    </w:p>
    <w:p>
      <w:r>
        <w:t>Оценивание проводится посредством минимизации квантильной функции потерь. Для ошибки u = G − q она равна ρτ(u) = u × (τ − 1{u &lt; 0}). При τ = 0,10 слишком высокий прогноз нижнего квантиля штрафуется сильнее, чем слишком низкий. Такой критерий соответствует задаче оценки заданной части распределения; обычная среднеквадратичная ошибка относится к другой прогнозной цели.</w:t>
      </w:r>
    </w:p>
    <w:p>
      <w:r>
        <w:t>В основной схеме окно обучения расширяется. На дату t используются обучающие пары, для которых конец целевого интервала не позже t − 1. Финансовые значения включаются с семидневным запасом, а ESI — только за первые два месяца квартала. Эти правила уменьшают риск календарного опережения данных, но не воспроизводят полностью фактический календарь и исторические версии каждого релиза.</w:t>
      </w:r>
    </w:p>
    <w:p>
      <w:r>
        <w:t>Дополнительная схема использует последние 52 допустимые квартальные пары, то есть фиксированное окно в 13 лет. Размер окна не подбирался по наилучшему результату. Этот анализ позволяет проверить зависимость прогноза от объёма старых данных и применить отдельную процедуру сравнения методов с ограниченной памятью.</w:t>
      </w:r>
    </w:p>
    <w:p>
      <w:pPr>
        <w:pStyle w:val="Heading1"/>
      </w:pPr>
      <w:r>
        <w:t>6 Проверка качества и предварительные результаты</w:t>
      </w:r>
    </w:p>
    <w:p>
      <w:r>
        <w:t>Основной показатель качества — средняя квантильная потеря на одинаковых датах. Дополнительно рассматриваются доля наблюдений ниже прогнозного квантиля, группировка таких нарушений во времени, результаты по горизонтам и чувствительность к необычным значениям. Частота, близкая к 10%, сама по себе не гарантирует корректной условной калибровки.</w:t>
      </w:r>
    </w:p>
    <w:p>
      <w:r>
        <w:t>В дополнительном эксперименте с фиксированным окном используются HAC-ошибки разности потерь с весами Бартлетта и лагами 4 и 8. На основном горизонте применяется поправка Холма для четырёх сравнений. Это приближённая статистическая проверка при определённых условиях на зависимость и моменты потерь. Небольшое число прогнозов, общие обучающие наблюдения и экстремальные сдвиги ограничивают её убедительность. Для четырёх кварталов отдельно учитывается перекрытие целевых периодов.</w:t>
      </w:r>
    </w:p>
    <w:p>
      <w:r>
        <w:t>Предварительные расчёты показывают неоднозначный результат. В основной расширяющейся схеме NFCI уменьшает потери относительно BASE примерно на 15,8% на квартальном горизонте. В схеме с фиксированным окном снижение составляет 18,4%, но относительно HIST потери этой модели выше на 27,5%. Статистически убедительного преимущества в дополнительной проверке не установлено: для NFCI против BASE p-значение до поправки составляет 0,246, после поправки — 0,739. Неотклонение гипотезы не трактую как доказательство равенства методов.</w:t>
      </w:r>
    </w:p>
    <w:p>
      <w:r>
        <w:t>Выявлена существенная зависимость от экстраполяции. В точке прогнозирования 2020Q4 лаг роста значительно превышает наблюдавшийся в обучении диапазон. BASE и модель NFCI дают чрезмерно высокие прогнозы нижнего квантиля. Разложение показывает, что основная разница связана с переоценкой коэффициента при прошлом росте, а не непосредственно с членом NFCI. Это объясняет поведение модели, но не идентифицирует причинный финансовый канал.</w:t>
      </w:r>
    </w:p>
    <w:p>
      <w:r>
        <w:t>В диагностике, где прошлый рост ограничен минимумом и максимумом обучающей выборки при сохранении оценённых коэффициентов, выигрыш NFCI относительно BASE на всех квартальных прогнозах сокращается с 15,8% до 4,0%. Исходы не удаляются. Эту проверку не считаю доказательством оптимальности ограничения предикторов: она показывает, насколько исходное сравнение зависит от экстраполяции.</w:t>
      </w:r>
    </w:p>
    <w:p>
      <w:r>
        <w:t>На годовом горизонте направление относительного преимущества NFCI меняется при переходе от расширяющегося к фиксированному окну. Поэтому предварительный ответ на вопрос состоит в том, что отдельные улучшения наблюдаются, но универсальной и устойчивой полезности американского индикатора пока не установлено. Отрицательный или неоднозначный результат допускается постановкой исследования и требует объяснения, а не подбора модели до появления значимости.</w:t>
      </w:r>
    </w:p>
    <w:p>
      <w:pPr>
        <w:pStyle w:val="Heading1"/>
      </w:pPr>
      <w:r>
        <w:t>7 Предлагаемая структура диплома</w:t>
      </w:r>
    </w:p>
    <w:p>
      <w:r>
        <w:t>Введение. Обоснование актуальности, исследовательский вопрос, цель и задачи, объект и предмет, предполагаемый вклад, данные, методы и ограничения исследования.</w:t>
      </w:r>
    </w:p>
    <w:p>
      <w:pPr>
        <w:keepNext/>
      </w:pPr>
      <w:r>
        <w:rPr>
          <w:b/>
        </w:rPr>
        <w:t>Глава 1 Теоретические основы финансовых условий и рисков экономического роста.</w:t>
      </w:r>
    </w:p>
    <w:p>
      <w:r>
        <w:t>1.1 Финансовые условия, финансовый стресс и уязвимость экономического роста. Разграничение понятий, содержание индексов NFCI и CISS, связь с неблагоприятными сценариями.</w:t>
      </w:r>
    </w:p>
    <w:p>
      <w:r>
        <w:t>1.2 Международная передача финансовых условий. Глобальный риск, финансовые посредники, стоимость фондирования и цены активов; причины возможной информативности американских показателей для еврозоны.</w:t>
      </w:r>
    </w:p>
    <w:p>
      <w:r>
        <w:t>1.3 Подход Growth-at-Risk и близкие эмпирические исследования. Квантильная регрессия, прогнозная полезность и калибровка, результаты ближайших работ, обоснование собственного вопроса и гипотез.</w:t>
      </w:r>
    </w:p>
    <w:p>
      <w:pPr>
        <w:keepNext/>
      </w:pPr>
      <w:r>
        <w:rPr>
          <w:b/>
        </w:rPr>
        <w:t>Глава 2 Эмпирическая оценка финансовых условий США в прогнозировании рисков роста еврозоны.</w:t>
      </w:r>
    </w:p>
    <w:p>
      <w:r>
        <w:t>2.1 Данные и организация эксперимента. Источники, частоты, состав еврозоны, преобразования, календарные ограничения, обучающая и проверочная выборки.</w:t>
      </w:r>
    </w:p>
    <w:p>
      <w:r>
        <w:t>2.2 Модели и методы оценки качества. Пять спецификаций, два горизонта, расширяющееся и фиксированное окна, квантильная потеря, статистическая неопределённость и диагностика калибровки.</w:t>
      </w:r>
    </w:p>
    <w:p>
      <w:r>
        <w:t>2.3 Основные результаты и проверки устойчивости. Добавочная информация NFCI и CISS США, сравнение с простыми ориентирами, отдельное рассмотрение поздних наблюдений, разбор экстремальных прогнозов и ограничений данных.</w:t>
      </w:r>
    </w:p>
    <w:p>
      <w:pPr>
        <w:keepNext/>
      </w:pPr>
      <w:r>
        <w:rPr>
          <w:b/>
        </w:rPr>
        <w:t>Глава 3 Рекомендации по использованию финансовых индикаторов в оценке рисков роста.</w:t>
      </w:r>
    </w:p>
    <w:p>
      <w:r>
        <w:t>3.1 Условия включения американских индикаторов в прогнозный анализ. Сравнение с базовой моделью и простыми ориентирами, раздельные выводы для разных горизонтов.</w:t>
      </w:r>
    </w:p>
    <w:p>
      <w:r>
        <w:t>3.2 Контроль устойчивости прогнозов. Выход предикторов за обучающий диапазон, проверка влияния отдельных наблюдений, прозрачное представление нескольких оценок и их ограничений.</w:t>
      </w:r>
    </w:p>
    <w:p>
      <w:r>
        <w:t>3.3 Требования к данным и границы практического применения. Версии рядов, календарь публикаций, согласованность целевой экономики и показатели качества перед использованием модели в реальном мониторинге.</w:t>
      </w:r>
    </w:p>
    <w:p>
      <w:r>
        <w:t>Заключение. Ответ на исследовательский вопрос, основные эмпирические результаты, самостоятельный вклад, ограничения и направления дальнейшей проверки.</w:t>
      </w:r>
    </w:p>
    <w:p>
      <w:r>
        <w:t>Список источников. Приложения: словарь переменных, подробный протокол, дополнительные результаты, диагностические расчёты и воспроизводимый код.</w:t>
      </w:r>
    </w:p>
    <w:p>
      <w:r>
        <w:t>Рекомендательная глава будет связана с полученными результатами. Не планирую выводить из прогнозных регрессий рекомендации по ставке ЕЦБ или иным инструментам политики, для которых требуется причинная идентификация.</w:t>
      </w:r>
    </w:p>
    <w:p>
      <w:pPr>
        <w:pStyle w:val="Heading1"/>
      </w:pPr>
      <w:r>
        <w:t>8 Текущее состояние и вопросы для согласования</w:t>
      </w:r>
    </w:p>
    <w:p>
      <w:r>
        <w:t>Собраны основные данные, реализованы модели и проведены предварительные проверки. Подготовлен реестр литературы; ближайшие исследования сопоставлены с предполагаемым вкладом. Полная реконструкция исторических информационных наборов и формальная проверка условного покрытия методом Corradi и соавторов не выполнены. Главы диплома ещё не написаны.</w:t>
      </w:r>
    </w:p>
    <w:p>
      <w:r>
        <w:t>Предлагаю согласовать три положения: достаточность сравнительного прикладного вклада для данной ВКР; основной квартальный горизонт при дополнительном годовом; допустимость псевдовневыборочного дизайна на пересмотренных данных при открытом обсуждении ограничений. После согласования можно зафиксировать окончательный протокол и переходить к изложению теории и результатов.</w:t>
      </w:r>
    </w:p>
    <w:p>
      <w:r>
        <w:t>Считаю тему выполнимой в обозначенных границах. Её результатом должна стать обоснованная оценка того, когда добавление американских финансовых показателей меняет прогноз риска и насколько надёжно это изменение, включая случаи отсутствия устойчивого преимущества.</w:t>
      </w:r>
    </w:p>
    <w:p>
      <w:pPr>
        <w:pStyle w:val="Heading1"/>
      </w:pPr>
      <w:r>
        <w:t>Основные научные источники</w:t>
      </w:r>
    </w:p>
    <w:p>
      <w:r>
        <w:rPr>
          <w:sz w:val="21"/>
        </w:rPr>
        <w:t>[1] Adrian T., Boyarchenko N., Giannone D. (2019). Vulnerable Growth. American Economic Review, 109(4), 1263–1289. https://doi.org/10.1257/aer.20161923</w:t>
      </w:r>
    </w:p>
    <w:p>
      <w:r>
        <w:rPr>
          <w:sz w:val="21"/>
        </w:rPr>
        <w:t>[2] Figueres J. M., Jarociński M. (2020). Vulnerable Growth in the Euro Area: Measuring the Financial Conditions. ECB Working Paper No. 2458. https://www.ecb.europa.eu/pub/pdf/scpwps/ecb.wp2458~849f0d9847.en.pdf</w:t>
      </w:r>
    </w:p>
    <w:p>
      <w:r>
        <w:rPr>
          <w:sz w:val="21"/>
        </w:rPr>
        <w:t>[3] Szendrei T., Varga K. (2023). Revisiting Vulnerable Growth in the Euro Area: Identifying the Role of Financial Conditions in the Distribution. Economics Letters, 223, 110990. https://doi.org/10.1016/j.econlet.2023.110990</w:t>
      </w:r>
    </w:p>
    <w:p>
      <w:r>
        <w:rPr>
          <w:sz w:val="21"/>
        </w:rPr>
        <w:t>[4] Plaasch J., Röthig A. (2025). A Growth-at-Risk Model for the German Economy. Deutsche Bundesbank, Technical Paper 05/2025. https://www.bundesbank.de/en/publications/reports/technical-papers/a-growth-at-risk-model-for-the-german-economy-971962</w:t>
      </w:r>
    </w:p>
    <w:p>
      <w:r>
        <w:rPr>
          <w:sz w:val="21"/>
        </w:rPr>
        <w:t>[5] Chavleishvili S., Kremer M. (2023). Measuring Systemic Financial Stress and Its Risks for Growth. ECB Working Paper No. 2842. https://www.econstor.eu/bitstream/10419/278674/1/1860134998.pdf</w:t>
      </w:r>
    </w:p>
    <w:p>
      <w:r>
        <w:rPr>
          <w:sz w:val="21"/>
        </w:rPr>
        <w:t>[6] Amburgey A., McCracken M. W. (2023). On the Real-Time Predictive Content of Financial Condition Indices for Growth. Journal of Applied Econometrics. https://doi.org/10.1002/jae.2943</w:t>
      </w:r>
    </w:p>
    <w:p>
      <w:r>
        <w:rPr>
          <w:sz w:val="21"/>
        </w:rPr>
        <w:t>[7] Corradi V., Fosten J., Gutknecht D. (2023). Out-of-Sample Tests for Conditional Quantile Coverage: An Application to Growth-at-Risk. Journal of Econometrics, 236(2), 105490. https://doi.org/10.1016/j.jeconom.2023.105490</w:t>
      </w:r>
    </w:p>
    <w:p>
      <w:r>
        <w:rPr>
          <w:sz w:val="21"/>
        </w:rPr>
        <w:t>[8] Giacomini R., White H. (2006). Tests of Conditional Predictive Ability. Econometrica, 74(6), 1545–1578. https://doi.org/10.1111/j.1468-0262.2006.00718.x</w:t>
      </w:r>
    </w:p>
    <w:p>
      <w:pPr>
        <w:pStyle w:val="Heading1"/>
      </w:pPr>
      <w:r>
        <w:t>Основные источники данных</w:t>
      </w:r>
    </w:p>
    <w:p>
      <w:r>
        <w:rPr>
          <w:sz w:val="21"/>
        </w:rPr>
        <w:t>[9] Eurostat. Квартальные национальные счета и экономические настроения. Наборы namq_10_gdp и ei_bssi_m_r2. https://ec.europa.eu/eurostat/databrowser/view/namq_10_gdp/default/table?lang=en и https://ec.europa.eu/eurostat/databrowser/view/ei_bssi_m_r2/default/table?lang=en</w:t>
      </w:r>
    </w:p>
    <w:p>
      <w:r>
        <w:rPr>
          <w:sz w:val="21"/>
        </w:rPr>
        <w:t>[10] Federal Reserve Bank of Chicago. National Financial Conditions Index. https://www.chicagofed.org/research/data/nfci/about ; FRED: https://fred.stlouisfed.org/series/NFCI ; исторические версии ALFRED: https://alfred.stlouisfed.org/series?seid=NFCI</w:t>
      </w:r>
    </w:p>
    <w:p>
      <w:r>
        <w:rPr>
          <w:sz w:val="21"/>
        </w:rPr>
        <w:t>[11] European Central Bank. Composite Indicator of Systemic Stress. Еврозона: https://data.ecb.europa.eu/data/datasets/CISS/CISS.D.U2.Z0Z.4F.EC.SS_CIN.IDX ; США: https://data.ecb.europa.eu/data/datasets/CISS/CISS.D.US.Z0Z.4F.EC.SS_CIN.IDX</w:t>
      </w:r>
    </w:p>
    <w:p>
      <w:r>
        <w:rPr>
          <w:sz w:val="21"/>
        </w:rPr>
        <w:t>[12] Eurostat. Описание исторических версий данных: https://ec.europa.eu/eurostat/cache/metadata/en/euroind_vtg_esms.htm ; пересмотры ВВП: https://ec.europa.eu/eurostat/en/web/national-accounts/database/data-revisions</w:t>
      </w:r>
    </w:p>
    <w:sectPr w:rsidR="00FC693F" w:rsidRPr="0006063C" w:rsidSect="00034616">
      <w:footerReference w:type="default" r:id="rId9"/>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69" w:lineRule="auto"/>
      <w:outlineLvl w:val="0"/>
    </w:pPr>
    <w:rPr>
      <w:rFonts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widowControl/>
      <w:spacing w:after="120" w:line="269" w:lineRule="auto"/>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Финансовые условия США в прогнозировании рисков роста еврозоны</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