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Решение о начале работы над дипломом</w:t>
      </w:r>
    </w:p>
    <w:p>
      <w:pPr/>
      <w:r>
        <w:t>Финансовые условия США в прогнозировании рисков роста еврозоны</w:t>
      </w:r>
    </w:p>
    <w:p>
      <w:pPr/>
      <w:r>
        <w:t>6 октября 2026 года</w:t>
      </w:r>
    </w:p>
    <w:p>
      <w:pPr>
        <w:pStyle w:val="Heading1"/>
        <w:keepNext/>
      </w:pPr>
      <w:r>
        <w:t>1 Решение</w:t>
      </w:r>
    </w:p>
    <w:p>
      <w:pPr/>
      <w:r>
        <w:t>Рекомендация — сохранять тему и переходить к написанию диплома как сравнительного исследования прогнозной полезности американских финансовых индикаторов. Исходные данные доступны, основные результаты воспроизведены, причины чувствительности результатов установлены достаточно для содержательной эмпирической главы. Дальнейший поиск статистически значимого выигрыша не является условием начала письма.</w:t>
      </w:r>
    </w:p>
    <w:p>
      <w:pPr/>
      <w:r>
        <w:t>Сильное утверждение «американский индикатор обеспечивает устойчиво лучший прогноз» проверки не выдержало. Поэтому цель работы — выяснить, какую дополнительную информацию дают NFCI и CISS США и насколько вывод зависит от европейской базовой модели, горизонта и экстремальных наблюдений. Отсутствие убедительного превосходства входит в ответ на вопрос, а не скрывается как неудачная регрессия.</w:t>
      </w:r>
    </w:p>
    <w:p>
      <w:pPr/>
      <w:r>
        <w:t>Это решение о научной и технической выполнимости. Оно не заменяет утверждение руководителем и не гарантирует оценку «отлично». Самостоятельность работы умеренная и прикладная; нового метода или причинного механизма проект не предлагает.</w:t>
      </w:r>
    </w:p>
    <w:p>
      <w:pPr>
        <w:pStyle w:val="Heading1"/>
        <w:keepNext/>
      </w:pPr>
      <w:r>
        <w:t>2 Что восстановлено и проверено</w:t>
      </w:r>
    </w:p>
    <w:p>
      <w:pPr/>
      <w:r>
        <w:t>Повреждённый архив обрывается внутри сжатого файла, поэтому его обычное открытие невозможно. По локальным заголовкам ZIP извлечены 136 записей с проверкой длины и CRC. Недостающие материалы найдены в прежних копиях по SHA256. В результате подтверждены оригинальные контрольные суммы 159 файлов из списка исходного манифеста; сам манифест также сохранён. Восстановлены все 28 PDF основного литературного реестра и разбор 34 работ. Шесть работ по-прежнему имеют предварительные карточки без полного текста.</w:t>
      </w:r>
    </w:p>
    <w:p>
      <w:pPr/>
      <w:r>
        <w:t>Не восстановлены побайтно 24 файла прежнего блока robustness, включая его код, часть результатов и отчёт. Они перечислены в RECOVERY_INVENTORY.json. Вместо фиктивного восстановления создан новый воспроизводимый расчёт final_check/run.py. Исторические документы сохранены как история, а актуальный вход в проект — этот отчёт и папка final_check. Старые инструкции с отсутствующими скриптами не являются инструкциями запуска новой версии.</w:t>
      </w:r>
    </w:p>
    <w:p>
      <w:pPr/>
      <w:r>
        <w:t>Повторно рассчитаны 2460 прогнозов: пять моделей, два горизонта и четыре варианта обучения или набора контролей. Из сырых финансовых рядов заново собраны квартальные показатели; они совпали с прежним набором. Повторно сформированы первые два месяца ESI, лаги роста и целевые переменные.</w:t>
      </w:r>
    </w:p>
    <w:p>
      <w:pPr/>
      <w:r>
        <w:t>369 прогнозов трёх основных регрессионных моделей с расширяющимся окном совпали с неповреждёнными результатами последнего отчёта с максимальным отклонением около 10⁻¹². Ещё 615 прогнозов скользящего окна совпали с отклонением около 10⁻¹³. Проверены одинаковые даты сравнения, завершённость обучающих целей и полный ранг матриц признаков. На выбранных датах другой алгоритм линейного программирования дал те же решения. Изменение будущего ВВП после контрольной даты не изменило прогноз на эту дату при обоих горизонтах.</w:t>
      </w:r>
    </w:p>
    <w:p>
      <w:pPr>
        <w:pStyle w:val="Heading1"/>
        <w:keepNext/>
      </w:pPr>
      <w:r>
        <w:t>3 Зафиксированная модель</w:t>
      </w:r>
    </w:p>
    <w:p>
      <w:pPr/>
      <w:r>
        <w:t>Основной горизонт — один квартал; четыре квартала используются дополнительно. Прогнозируется десятый процентиль годового логарифмического темпа роста реального ВВП EA20. Цель рассчитывается как 400/h × ln(Y[t+h]/Y[t]). Это не обычный процентный темп и не вероятность рецессии.</w:t>
      </w:r>
    </w:p>
    <w:p>
      <w:pPr/>
      <w:r>
        <w:t>Базовая квантильная регрессия включает константу, рост ВВП с лагом один квартал, CISS еврозоны и ESI еврозоны. Две расширенные модели добавляют отдельно CISS США либо NFCI США. Простые ориентиры — исторический десятый процентиль и квантильная авторегрессия. Основной показатель качества — средняя квантильная потеря при уровне 0,10; меньшая потеря означает лучший результат.</w:t>
      </w:r>
    </w:p>
    <w:p>
      <w:pPr/>
      <w:r>
        <w:t>Сохраняется расширяющееся окно. Обучающие цели должны заканчиваться не позже предыдущего квартала; все модели используют общий набор допустимых наблюдений. В основной подготовке ESI берутся первые два месяца квартала, финансовые ряды имеют семидневный запас относительно конца квартала. Стандартизация признаков выполняется только по обучающему окну. Выборка показателей — 1995Q1–2025Q4; проверочные даты начинаются с 2010Q1. Доступны 63 прогноза на один квартал и 60 на четыре.</w:t>
      </w:r>
    </w:p>
    <w:p>
      <w:pPr/>
      <w:r>
        <w:t>Дополнительные эксперименты — окно из 52 обучающих пар, второй лаг роста и исключение роста из базовой регрессии. Последний вариант специально проверяет, зависит ли выигрыш американского индикатора от поведения регрессора роста. Эти проверки проведены после знакомства с основными результатами и не объявляются предварительно зарегистрированными. Они не заменяют основную модель наиболее удачной спецификацией.</w:t>
      </w:r>
    </w:p>
    <w:p>
      <w:pPr>
        <w:pStyle w:val="Heading1"/>
        <w:keepNext/>
      </w:pPr>
      <w:r>
        <w:t>4 Что показали расчёты</w:t>
      </w:r>
    </w:p>
    <w:p>
      <w:pPr/>
      <w:r>
        <w:t>В основной модели на горизонте один квартал NFCI снижает среднюю потерю относительно европейской базы на 15,8%, но проигрывает историческому квантилю на 20,6%. В скользящем окне соответствующие величины составляют улучшение на 18,4% и ухудшение на 27,5%. Следовательно, сравнение только с европейской регрессией преувеличивает практическую привлекательность расширения.</w:t>
      </w:r>
    </w:p>
    <w:p>
      <w:pPr/>
      <w:r>
        <w:t>Примерно 75,6% суммарного выигрыша NFCI над BASE в основном эксперименте приходится на одну прогнозную дату — 2020Q4. При исключении этой даты только из подсчёта потерь, без переобучения, преимущество сокращается до 5,2%. Это диагностика влияния наблюдения, а не основание удалять его из диплома.</w:t>
      </w:r>
    </w:p>
    <w:p>
      <w:pPr/>
      <w:r>
        <w:t>Ограничение экстремального регрессора роста границами обучающего диапазона при неизменных коэффициентах сокращает выигрыш до примерно 4,0%. В дополнительной регрессии вообще без роста преимущество над соответствующей европейской базой равно 4,1%, а отличие от HIST — около 0,3% в пользу NFCI. Последнее слишком мало и получено в дополнительном анализе, чтобы объявлять найденной лучшую модель.</w:t>
      </w:r>
    </w:p>
    <w:p>
      <w:pPr/>
      <w:r>
        <w:t>Выигрыш исходной модели объясняется в значительной степени тем, как добавление NFCI меняет оценку зависимости от лагового роста и ослабляет чрезмерную экстраполяцию после резкого отскока ВВП. Это не равно доказанному прямому прогнозному вкладу американского финансового сигнала. Пандемия остаётся диагностическим эпизодом, а не центральной темой работы.</w:t>
      </w:r>
    </w:p>
    <w:p>
      <w:pPr/>
      <w:r>
        <w:t>За целевые периоды 2022–2025 годов на горизонте один квартал средняя потеря NFCI составляет 0,175 против 0,244 у BASE и 0,221 у HIST. Это полезное описательное наблюдение о более позднем периоде, однако всего 16 прогнозов недостаточно для самостоятельного вывода об устойчивом превосходстве. Подпериод нельзя превращать в основную выборку только потому, что он даёт удобный результат.</w:t>
      </w:r>
    </w:p>
    <w:p>
      <w:pPr/>
      <w:r>
        <w:t>На горизонте четыре квартала отношение NFCI/BASE равно 1,305 при расширяющемся окне и 0,927 при скользящем. Направление результата зависит от окна. Дополнительный горизонт подтверждает ограниченную переносимость вывода.</w:t>
      </w:r>
    </w:p>
    <w:p>
      <w:pPr>
        <w:pStyle w:val="Heading1"/>
        <w:keepNext/>
      </w:pPr>
      <w:r>
        <w:t>5 Калибровка и статистические границы</w:t>
      </w:r>
    </w:p>
    <w:p>
      <w:pPr/>
      <w:r>
        <w:t>В основной модели на один квартал фактический рост оказался ниже прогнозируемого десятого процентиля в 10 из 63 случаев для NFCI — 15,9%. Для HIST получено 7 из 63 — 11,1%; для CISS США — 14 из 63, или 22,2%. На четыре квартала частота для NFCI достигает 20 из 60, или 33,3%. Эти значения не позволяют представлять модель как проверенную систему вероятностного предупреждения.</w:t>
      </w:r>
    </w:p>
    <w:p>
      <w:pPr/>
      <w:r>
        <w:t>В файле coverage.csv приведены частоты, описательные интервалы Уилсона при предположении независимости и приближённые HAC-проверки безусловного момента. Интервалы Уилсона не считаются корректными доверительными интервалами при произвольной временной зависимости. Для перекрывающихся четырёхквартальных целей отдельно сохранены частоты по четырём неперекрывающимся фазам; каждая коротка, а сами фазы не независимы друг от друга.</w:t>
      </w:r>
    </w:p>
    <w:p>
      <w:pPr/>
      <w:r>
        <w:t>Для парных потерь скользящего окна повторена HAC-проверка с весами Бартлетта и четырьмя либо восемью лагами. На основном горизонте применена поправка Холма к четырём сравнениям. Для NFCI против BASE исходное p-значение около 0,246, после поправки около 0,739. Статистически убедительное превосходство не установлено. Неотклонение гипотезы не доказывает равенство моделей или отсутствие экономической связи.</w:t>
      </w:r>
    </w:p>
    <w:p>
      <w:pPr/>
      <w:r>
        <w:t>Полный wild-bootstrap тест условного покрытия Corradi, Fosten и Gutknecht не реализован. Он не объявляется обязательным условием этой ограниченной сравнительной работы, поскольку работа не заявляет доказанную условную калибровку. При постановке такой отдельной цели потребуется другой объём методической работы.</w:t>
      </w:r>
    </w:p>
    <w:p>
      <w:pPr>
        <w:pStyle w:val="Heading1"/>
        <w:keepNext/>
      </w:pPr>
      <w:r>
        <w:t>6 Данные и самостоятельный вклад</w:t>
      </w:r>
    </w:p>
    <w:p>
      <w:pPr/>
      <w:r>
        <w:t>Для выбранного ретроспективного эксперимента набор данных собран и включён в архив: реальный ВВП EA20, ESI EA20, New CISS еврозоны и США, NFCI США. Основные источники — Eurostat, ECB и Chicago Fed через FRED. Сохранены исходные выгрузки, происхождение рядов и код преобразований. Для повторения расчётов новое подключение к источникам не требуется.</w:t>
      </w:r>
    </w:p>
    <w:p>
      <w:pPr/>
      <w:r>
        <w:t>Полный исторический информационный набор не построен: используются пересмотренные ряды и консервативные календарные ограничения. Сохранённый пилот винтажа NFCI и файл пересмотров ВВП не решают задачу для всех переменных и дат. Eurostat отдельно предупреждает, что исторические агрегаты отражают состав еврозоны на дату версии. Поэтому их нельзя без нового согласованного дизайна подменить фиксированным EA20. CISS с кодом U2 также не имеет полностью одинакового географического определения с EA20.</w:t>
      </w:r>
    </w:p>
    <w:p>
      <w:pPr/>
      <w:r>
        <w:t>Нижняя граница допустимых выводов зафиксирована: сравнение на пересмотренных данных, без утверждения, что эти прогнозы можно было получить в реальном времени. Семидневный запас не устраняет пересмотры и не заменяет полный исторический календарь публикаций. Изолированная доступность отдельных винтажей не считается готовностью всего real-time эксперимента.</w:t>
      </w:r>
    </w:p>
    <w:p>
      <w:pPr/>
      <w:r>
        <w:t>Ближайший аналог — Plaasch и Röthig (2025), использующие американский NFCI в GaR Германии. Figueres и Jarociński (2020) изучают информативность финансовых условий для рисков роста еврозоны. Plagborg-Møller и соавторы (2020) показывают, почему прогнозирование распределения роста и хвостовых рисков может давать слабые результаты. Наш вклад — конкретное сопоставление двух американских индикаторов на общих датах для EA20 и объяснение зависимости результата от ориентира и экстраполяции. Первенство или новый алгоритм не заявляются.</w:t>
      </w:r>
    </w:p>
    <w:p>
      <w:pPr/>
      <w:r>
        <w:t>Корреляция европейского и американского CISS в собранном наборе около 0,905, а европейского CISS и NFCI — около 0,833. Это согласуется с большим общим компонентом информации, но не доказывает единственный глобальный механизм. Наши регрессии не отделяют американский шок от общего мирового фактора и обратной связи.</w:t>
      </w:r>
    </w:p>
    <w:p>
      <w:pPr>
        <w:pStyle w:val="Heading1"/>
        <w:keepNext/>
      </w:pPr>
      <w:r>
        <w:t>7 Как переходим к написанию</w:t>
      </w:r>
    </w:p>
    <w:p>
      <w:pPr/>
      <w:r>
        <w:t>Введение формулирует открытый исследовательский вопрос и умеренный вклад. Первая глава объясняет финансовые условия, международную взаимосвязь, GaR и ближайшие исследования. Вторая глава содержит данные, модель, вневыборочное сравнение, калибровку и диагностику устойчивости. Третья глава даёт рекомендации по использованию дополнительных индикаторов, контролю экстраполяции и требованиям к версиям данных. Рекомендации по изменению ставки ЕЦБ или нормативов капитала из этой модели не следуют.</w:t>
      </w:r>
    </w:p>
    <w:p>
      <w:pPr/>
      <w:r>
        <w:t>Подготовительный расчёт завершён. Главы пока не написаны. Следующий содержательный шаг — согласовать с руководителем именно сравнительную постановку и затем писать введение и теоретическую главу, опираясь на уже собранный обзор. Автоматическое расширение списка моделей и повторная смена темы сейчас не нужны.</w:t>
      </w:r>
    </w:p>
    <w:p>
      <w:pPr/>
      <w:r>
        <w:t>Основание для начала письма — воспроизводимый и интерпретируемый ответ на вопрос, включая его ограничения. Основания обещать оценку «отлично» или доказанно лучший прогноз нет; качество аргументации, оформления и защиты предстоит обеспечить в самой работе.</w:t>
      </w:r>
    </w:p>
    <w:p>
      <w:pPr>
        <w:pStyle w:val="Heading1"/>
        <w:keepNext/>
      </w:pPr>
      <w:r>
        <w:t>Источники для проверки постановки</w:t>
      </w:r>
    </w:p>
    <w:p>
      <w:pPr/>
      <w:r>
        <w:rPr>
          <w:sz w:val="20"/>
        </w:rPr>
        <w:t>Plaasch J., Röthig A. (2025). A Growth-at-Risk model for the German economy. Deutsche Bundesbank Technical Paper 05/2025. https://www.bundesbank.de/en/publications/reports/technical-papers/a-growth-at-risk-model-for-the-german-economy-971962</w:t>
      </w:r>
    </w:p>
    <w:p>
      <w:pPr/>
      <w:r>
        <w:rPr>
          <w:sz w:val="20"/>
        </w:rPr>
        <w:t>Figueres J. M., Jarociński M. (2020). Vulnerable growth in the Euro Area: Measuring the financial conditions. ECB Working Paper 2458. https://www.ecb.europa.eu/pub/pdf/scpwps/ecb.wp2458~849f0d9847.en.pdf</w:t>
      </w:r>
    </w:p>
    <w:p>
      <w:pPr/>
      <w:r>
        <w:rPr>
          <w:sz w:val="20"/>
        </w:rPr>
        <w:t>Plagborg-Møller M., Reichlin L., Ricco G., Hasenzagl T. (2020). When Is Growth at Risk? Brookings Papers on Economic Activity. https://www.mikkelpm.com/files/gar.pdf</w:t>
      </w:r>
    </w:p>
    <w:p>
      <w:pPr/>
      <w:r>
        <w:rPr>
          <w:sz w:val="20"/>
        </w:rPr>
        <w:t>Giacomini R., White H. (2006). Tests of Conditional Predictive Ability. Econometrica 74(6), 1545–1578. https://doi.org/10.1111/j.1468-0262.2006.00718.x</w:t>
      </w:r>
    </w:p>
    <w:p>
      <w:pPr/>
      <w:r>
        <w:rPr>
          <w:sz w:val="20"/>
        </w:rPr>
        <w:t>Corradi V., Fosten J., Gutknecht D. (2023). Out-of-sample tests for conditional quantile coverage: An application to Growth-at-Risk. Journal of Econometrics 236(2), 105490. https://doi.org/10.1016/j.jeconom.2023.105490</w:t>
      </w:r>
    </w:p>
    <w:p>
      <w:pPr/>
      <w:r>
        <w:rPr>
          <w:sz w:val="20"/>
        </w:rPr>
        <w:t>Eurostat. Euro indicators — vintages of data. https://ec.europa.eu/eurostat/cache/metadata/en/euroind_vtg_esms.htm</w:t>
      </w:r>
    </w:p>
    <w:p>
      <w:pPr/>
      <w:r>
        <w:rPr>
          <w:sz w:val="20"/>
        </w:rPr>
        <w:t>Chicago Fed. National Financial Conditions Index: Current Data. https://www.chicagofed.org/research/data/nfci/current-data</w:t>
      </w:r>
    </w:p>
    <w:p>
      <w:pPr/>
      <w:r>
        <w:t>Полный реестр 34 работ и статусы доступа находятся в catalog/registry.json; разбор — в review/LITERATURE_REVIEW_ALL_34.md. Все численные выводы этого отчёта относятся к сохранённым расчётам final_check/results и восстановленной диагностике acceptance, а не к результатам перечисленных статей.</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