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rPr>
        <w:t>Финансовые условия США в прогнозировании рисков роста еврозоны</w:t>
      </w:r>
    </w:p>
    <w:p>
      <w:r>
        <w:t>Критический обзор всех 34 работ из собранного списка и уточнение исследовательского дизайна</w:t>
      </w:r>
    </w:p>
    <w:p>
      <w:r>
        <w:t>2 октября 2026 года</w:t>
      </w:r>
    </w:p>
    <w:p>
      <w:pPr>
        <w:pStyle w:val="Heading1"/>
      </w:pPr>
      <w:r>
        <w:t>Основной вывод для обсуждения с научным руководителем</w:t>
      </w:r>
    </w:p>
    <w:p>
      <w:r>
        <w:t>Я предлагаю сохранить тему и строить диплом как самостоятельное прикладное расширение существующих исследований Growth-at-Risk. Цель — проверить, улучшают ли показатели финансовых условий США прогноз неблагоприятной части распределения роста еврозоны после учёта её собственной финансовой и экономической ситуации. Для бакалаврской работы достаточно обоснованного изменения объекта и сравнительного дизайна. Разработка нового эконометрического метода не является необходимым условием.</w:t>
      </w:r>
    </w:p>
    <w:p>
      <w:r>
        <w:t>Наиболее близкая работа — модель Германии Plaasch и Röthig, Bundesbank, 2025 [S26]. Она уже сочетает американский NFCI, внутренний финансовый стресс, деловые ожидания и лаги ВВП. Поэтому мой вклад следует формулировать точнее: сравнение NFCI и американского CISS в одной прогнозной схеме для агрегата еврозоны, на обновлённой выборке и с проверкой устойчивости результата. Само включение показателя США не будет заявляться как научное открытие.</w:t>
      </w:r>
    </w:p>
    <w:p>
      <w:r>
        <w:t>Обзор охватывает все 34 записи прежнего каталога. По 28 работам доступны полные PDF; разбор опирается на постановку задачи, методику, эмпирические разделы, результаты и ограничения соответствующих версий. Это содержательный обзор, а не независимая проверка всех математических доказательств или воспроизведение авторских расчётов. По шести работам полного текста получить не удалось: их карточки явно ограничены библиографией и доступными аннотациями. Такие записи не обозначаются как полностью прочитанные.</w:t>
      </w:r>
    </w:p>
    <w:p>
      <w:pPr>
        <w:pStyle w:val="Heading1"/>
      </w:pPr>
      <w:r>
        <w:t>Исследовательский вопрос и посильные черты оригинальности</w:t>
      </w:r>
    </w:p>
    <w:p>
      <w:r>
        <w:t>Основной вопрос: улучшает ли добавление NFCI или CISS США вневыборочный прогноз 10-го процентиля будущего роста реального ВВП еврозоны по сравнению с моделью, уже учитывающей внутренний CISS, экономические настроения ESI и предшествующий рост?</w:t>
      </w:r>
    </w:p>
    <w:p>
      <w:r>
        <w:t>Первая черта оригинальности — перенос близкой прогнозной конструкции на агрегат еврозоны. Это имеет экономический смысл: единая денежная политика сочетается с неоднородностью национальных экономик, а внешний сигнал может частично поглощаться европейскими индикаторами. Результат для Германии не предрешает результат для всего валютного союза.</w:t>
      </w:r>
    </w:p>
    <w:p>
      <w:r>
        <w:t>Вторая черта — прямое сравнение двух измерителей американской финансовой среды. NFCI описывает широкий набор условий финансирования; CISS сконструирован для системного стресса. Важно оценить, какой из этих сигналов добавляет информацию при одинаковых исходных данных и правилах. Возможен и вывод, что ни один не улучшает сильные простые ориентиры.</w:t>
      </w:r>
    </w:p>
    <w:p>
      <w:r>
        <w:t>Третья черта — обновлённый период с содержательным разбором последних эпизодов. Период с 2022 года интересен сочетанием изменения процентных ставок, инфляционного давления и иных шоков, но короток для самостоятельного надёжного теста хвостовых прогнозов. Его следует использовать как дополнительный срез длинного эксперимента. Нельзя приписывать американскому индексу весь эффект европейского энергетического шока или общей глобальной неопределённости.</w:t>
      </w:r>
    </w:p>
    <w:p>
      <w:r>
        <w:t>Диагностика влияния отдельных кварталов и аккуратный календарь данных усиливают достоверность этого небольшого вклада. Это требования к качеству исследования, а не отдельные заявления о принципиально новой методологии. Обзор не доказывает, что аналогичное сравнение никогда не проводилось: формулировка вклада остаётся ограниченной рассмотренным корпусом.</w:t>
      </w:r>
    </w:p>
    <w:p>
      <w:pPr>
        <w:pStyle w:val="Heading1"/>
      </w:pPr>
      <w:r>
        <w:t>Что литература действительно подтверждает</w:t>
      </w:r>
    </w:p>
    <w:p>
      <w:r>
        <w:t>Работы Adrian и соавторов [S01] и Figueres и Jarociński [S08] дают исходное обоснование связи финансовых условий с нижним хвостом роста. Однако сила зависимости не постоянна: она зависит от измерителя, горизонта, периода и того, какая информация уже включена в модель. Chavleishvili и Kremer [S02] показывают, почему выбор начала выборки способен изменить относительный результат CISS и NFCI.</w:t>
      </w:r>
    </w:p>
    <w:p>
      <w:r>
        <w:t>Plagborg-Møller и соавторы [S04] делают особенно важным контроль реальной активности. Дополнительный финансовый сигнал нужно оценивать после своевременных макропоказателей. Работы об опросах, международной информации и широких наборах переменных [S03, S24, S29] также показывают, что слабый базовый прогноз может завысить впечатление от добавления финансового индекса.</w:t>
      </w:r>
    </w:p>
    <w:p>
      <w:r>
        <w:t>Сравнение S08 и S25 не даёт универсального победителя среди европейских финансовых показателей. CISS хорошо выглядит в одном дизайне, но может не отбираться при одновременной регуляризации набора отдельных переменных. В S25 вневыборочная история очень коротка. Поэтому рейтинг индикаторов в одной статье нельзя превращать в общий экономический закон.</w:t>
      </w:r>
    </w:p>
    <w:p>
      <w:r>
        <w:t>Международные исследования [S18, S30, S31; предварительно S19 и S32] обосновывают возможность трансграничного финансового канала. Но наличие передачи стресса ещё не означает улучшения конкретного прогноза. Часть американской информации может уже отражаться в CISS еврозоны и ESI. Кроме того, сам индекс США может содержать глобальный фактор.</w:t>
      </w:r>
    </w:p>
    <w:p>
      <w:r>
        <w:t>Пересмотры данных меняют информационный набор прогнозиста [S13, S14, S27, S29]. Последние значения исторических рядов не равны значениям, известным в соответствующий момент. Высокая корреляция разных винтажей не снимает проблему. Пока винтажи не восстановлены, корректное название наших расчётов — псевдовневыборочная проверка на доступной версии данных с заданными задержками.</w:t>
      </w:r>
    </w:p>
    <w:p>
      <w:r>
        <w:t>Динамическая спецификация и свойства хвостов требуют осторожности [S09, S10, S16]. При этом две недоступные полностью репликационные статьи нельзя представлять как окончательно изученные методические основания. Их предварительные выводы задают вопросы к проверке, но не заменяют чтения алгоритмов и предпосылок.</w:t>
      </w:r>
    </w:p>
    <w:p>
      <w:pPr>
        <w:pStyle w:val="Heading1"/>
      </w:pPr>
      <w:r>
        <w:t>Модель и минимально необходимый протокол следующего этапа</w:t>
      </w:r>
    </w:p>
    <w:p>
      <w:r>
        <w:t>Сохраняю квантильную регрессию как основную модель. Целевая величина — рост реального ВВП еврозоны за следующие один и четыре квартала, с одним явно зафиксированным правилом вычисления и годового масштабирования. Эти горизонты оцениваются отдельно. Главная квантиль — 0,10; медиана нужна как дополнительное сравнение, 0,05 — как чувствительность, если позволяет объём данных.</w:t>
      </w:r>
    </w:p>
    <w:p>
      <w:r>
        <w:t>Базовая спецификация содержит константу, доступный на дату прогноза предшествующий рост ВВП, CISS еврозоны и ESI. Две расширенные модели добавляют соответственно NFCI США и CISS США. Индексы сначала проверяются по отдельности: их одновременное включение усложняет интерпретацию добавочной информации и может усилить коллинеарность. Результаты сравниваются на одинаковых датах.</w:t>
      </w:r>
    </w:p>
    <w:p>
      <w:r>
        <w:t>Сохраняю два обязательных простых ориентира: историческую квантиль, рассчитанную только по обучающей истории, и квантильную авторегрессию. В качестве дополнительного содержательного соперника стоит проверить одну модель меняющейся волатильности, мотивированную S05. Её точная спецификация должна быть зафиксирована до оценки окончательных результатов, а не выбрана из большого числа конкурентов по лучшему тестовому показателю.</w:t>
      </w:r>
    </w:p>
    <w:p>
      <w:r>
        <w:t>Календарь прогноза требует отдельного аудита. Для каждой даты необходимо записать, какие ВВП, ESI и финансовые наблюдения были опубликованы. В обучение допускаются лишь цели, уже известные к этой дате; при горизонте четыре квартала особенно легко случайно использовать будущую информацию. Все стандартизации и иные оценки преобразований выполняются на обучающей части.</w:t>
      </w:r>
    </w:p>
    <w:p>
      <w:r>
        <w:t>Предыдущая рабочая схема использовала период 1995Q1–2025Q4 и начало прогнозных дат в 2010Q1. Эти границы здесь сохраняются как исходная проектная настройка, а не как заново проверенная доступность каждого винтажа. На этом этапе новые ряды не загружались и модели не пересчитывались. Следующий этап должен подтвердить календарь и фактическое число прогнозов каждого горизонта.</w:t>
      </w:r>
    </w:p>
    <w:p>
      <w:r>
        <w:t>Главный критерий — средняя квантильная потеря. Помимо её отношения к каждой базе, нужны разность потерь по датам и накопленный выигрыш. Покрытие показывается отдельно: доля наблюдений ниже прогнозной 10-процентной границы в длинном периоде должна быть совместима с номинальным уровнем. На малой выборке такая проверка обладает низкой мощностью.</w:t>
      </w:r>
    </w:p>
    <w:p>
      <w:r>
        <w:t>Статистический вывод должен учитывать зависимость наблюдений и перекрывающиеся горизонты. Обычный независимый bootstrap не подходит. Уже имеющийся bootstrap фиксированного ряда потерь не учитывает неопределённость повторной оценки параметров и выбора спецификации. Его нельзя без объяснения выдавать за полноценную проверку всего процесса моделирования. Конкретный тест следует выбрать после проверки применимости S11 и S27; они решают не одну и ту же задачу.</w:t>
      </w:r>
    </w:p>
    <w:p>
      <w:r>
        <w:t>Проверка динамики должна быть ограниченной: исходная спецификация и заранее оговорённый вариант с дополнительными лагами. Формулировка S10 относится к лагам предикторов, а не только к добавлению второго лага ВВП. Нужно контролировать число коэффициентов и сравнивать модели на общей выборке. Перебор десятков вариантов ради значимости не предлагаю.</w:t>
      </w:r>
    </w:p>
    <w:p>
      <w:r>
        <w:t>Пандемия не является центральной темой. Но её наблюдения остаются частью исторического материала и могут влиять на оценки. Следует различать исключение дат из обучающего набора, исключение прогнозов из оценки потерь и простую диагностику вклада отдельного квартала. Эти действия отвечают на разные вопросы. Основной вариант и ограниченная чувствительность должны быть объявлены заранее и представлены вместе.</w:t>
      </w:r>
    </w:p>
    <w:p>
      <w:pPr>
        <w:pStyle w:val="Heading1"/>
      </w:pPr>
      <w:r>
        <w:t>Какой результат будет достаточным для диплома</w:t>
      </w:r>
    </w:p>
    <w:p>
      <w:r>
        <w:t>Убедительный положительный результат — дополнительная прогнозная информация, сохраняющаяся относительно содержательной базовой модели и простых ориентиров, с понятной величиной выигрыша и оговорённой неопределённостью. Желательно, чтобы он не целиком определялся одним наблюдением, но небольшое число кризисов объективно ограничивает такую проверку.</w:t>
      </w:r>
    </w:p>
    <w:p>
      <w:r>
        <w:t>Убедительный ограниченный результат — полезность только одного индекса, одного горизонта или определённых эпизодов. Тогда вклад состоит в выявлении границ применимости и объяснении различий между стрессом и более широкими финансовыми условиями. Нельзя выбирать только удачную часть эксперимента и скрывать остальную.</w:t>
      </w:r>
    </w:p>
    <w:p>
      <w:r>
        <w:t>Убедительный отрицательный результат — отсутствие устойчивой добавочной полезности США после ESI и внутреннего CISS при корректной процедуре прогноза. Это позволяет аргументированно рекомендовать более простую систему мониторинга. Хороший диплом не требует заранее получить положительный коэффициент или победу расширенной модели.</w:t>
      </w:r>
    </w:p>
    <w:p>
      <w:r>
        <w:t>Новизна такого масштаба соответствует прикладной бакалаврской работе. Оценку 7 или 8 из 10 нельзя гарантировать по теме или числу источников: она зависит от исполнения, требований программы, текста и защиты. Практический ориентир — понятный вопрос, воспроизводимая проверка, экономическая интерпретация и честные ограничения.</w:t>
      </w:r>
    </w:p>
    <w:p>
      <w:pPr>
        <w:pStyle w:val="Heading1"/>
      </w:pPr>
      <w:r>
        <w:t>Использование обзора в структуре диплома</w:t>
      </w:r>
    </w:p>
    <w:p>
      <w:r>
        <w:t>Во введении фиксирую исследовательский вопрос, объект, добавочный вклад и прогнозный характер анализа. Не обещаю оценить причинное влияние политики США или ЕЦБ.</w:t>
      </w:r>
    </w:p>
    <w:p>
      <w:r>
        <w:t>В первой теоретической главе раскрываю финансовые условия и системный стресс [S23, S28, S33–S34], механизмы международной передачи [S18, S30–S31] и Growth-at-Risk [S01, S06–S08]. Завершаю её противоречиями прогнозной литературы [S04, S25–S27] и гипотезами диплома.</w:t>
      </w:r>
    </w:p>
    <w:p>
      <w:r>
        <w:t>Во второй практической главе описываю данные и их календарь, целевую переменную, модели и ориентиры, затем вневыборочные результаты и чувствительность. Методические основания — S20–S21, S11, S13–S17, S27. Источники с отсутствующими полными текстами используются с обозначением доступного уровня проверки.</w:t>
      </w:r>
    </w:p>
    <w:p>
      <w:r>
        <w:t>В третьей рекомендательной главе формулирую, какой индикатор и на каком горизонте целесообразно включать в мониторинг, как часто обновлять прогноз и при каких признаках пересматривать модель. Рекомендации привязаны к результатам главы 2; конкретные решения о ставке ЕЦБ из этой модели не следуют.</w:t>
      </w:r>
    </w:p>
    <w:p>
      <w:r>
        <w:t>Заключение отвечает на вопрос исследования независимо от знака результата. Список источников различает журнальные и прочитанные рабочие версии. В приложения входят словарь данных, календарь доступности, код, дополнительные результаты, журнал версий и карточки работ.</w:t>
      </w:r>
    </w:p>
    <w:p>
      <w:pPr>
        <w:pStyle w:val="Heading1"/>
      </w:pPr>
      <w:r>
        <w:t>Порядок чтения карточек и пределы охвата</w:t>
      </w:r>
    </w:p>
    <w:p>
      <w:r>
        <w:t>Далее приведены все 34 карточки в порядке прежнего каталога. Ссылки S01–S34 постоянны. Номера страниц обозначают позиции в приложенном PDF, включая титульные страницы. Если название или год рабочей версии отличаются от журнальной записи, это указано в карточке; результаты относятся именно к доступному файлу.</w:t>
      </w:r>
    </w:p>
    <w:p>
      <w:r>
        <w:t>Приоритет для обоснования собственного вклада имеют S08, S26, S02, S04 и S27. Остальные работы не исключены: они закрывают определения, методы оценки, международный механизм, горизонты и ограничения. Корпус из 34 работ — это весь собранный список, а не заявление о полном охвате мировой литературы.</w:t>
      </w:r>
    </w:p>
    <w:p>
      <w:r>
        <w:t>Полные тексты S05, S09, S10, S19, S22 и S32 не получены после повторной проверки. Для этих карточек нельзя подтвердить все даты, настройки, таблицы и приложения. Получение текстов через доступ университета или авторские версии остаётся незавершённой частью литературного этапа; сообщения авторам не отправлялись.</w:t>
      </w:r>
    </w:p>
    <w:p>
      <w:r>
        <w:br w:type="page"/>
      </w:r>
    </w:p>
    <w:p>
      <w:pPr>
        <w:pStyle w:val="Heading1"/>
      </w:pPr>
      <w:r>
        <w:t>Карточки всех работ</w:t>
      </w:r>
    </w:p>
    <w:p>
      <w:pPr>
        <w:pStyle w:val="Heading2"/>
      </w:pPr>
      <w:r>
        <w:t>S01 Разбор доступной полной версии</w:t>
      </w:r>
    </w:p>
    <w:p>
      <w:pPr>
        <w:keepNext/>
      </w:pPr>
      <w:r>
        <w:rPr>
          <w:b/>
        </w:rPr>
        <w:t>Adrian, Tobias; Boyarchenko, Nina; Giannone, Domenico. Vulnerable Growth. American Economic Review, 2019.</w:t>
      </w:r>
    </w:p>
    <w:p>
      <w:pPr>
        <w:keepNext/>
      </w:pPr>
      <w:r>
        <w:rPr>
          <w:sz w:val="20"/>
        </w:rPr>
        <w:t>https://doi.org/10.1257/aer.20161923</w:t>
      </w:r>
    </w:p>
    <w:p>
      <w:r>
        <w:rPr>
          <w:b/>
        </w:rPr>
        <w:t xml:space="preserve">Вопрос и данные. </w:t>
      </w:r>
      <w:r>
        <w:t>Можно ли связать изменения нижнего хвоста будущего роста ВВП с финансовыми условиями? Работа использует квартальный рост ВВП США и NFCI; исходная история начинается в 1973 году. В архиве находится рабочая версия NY Fed Staff Report 794, а не окончательная вёрстка AER 2019.</w:t>
      </w:r>
    </w:p>
    <w:p>
      <w:r>
        <w:rPr>
          <w:b/>
        </w:rPr>
        <w:t xml:space="preserve">Модель и проверка. </w:t>
      </w:r>
      <w:r>
        <w:t>Авторы оценивают квантильные регрессии с текущим ростом и финансовыми условиями, затем аппроксимируют набор квантилей асимметричным t-распределением. Рассматриваются горизонты один и четыре квартала. Рекурсивная проверка начинается после обучающего периода 1973Q1–1992Q4; применяются оценки прогнозной плотности и её калибровки.</w:t>
      </w:r>
    </w:p>
    <w:p>
      <w:r>
        <w:rPr>
          <w:b/>
        </w:rPr>
        <w:t xml:space="preserve">Результат. </w:t>
      </w:r>
      <w:r>
        <w:t>Ухудшение финансовых условий связано со снижением условного среднего и повышением неопределённости. Нижние квантили меняются сильнее верхних. Это даёт экономическое объяснение GaR через усиление отрицательных шоков финансовой системой.</w:t>
      </w:r>
    </w:p>
    <w:p>
      <w:r>
        <w:rPr>
          <w:b/>
        </w:rPr>
        <w:t xml:space="preserve">Ограничения. </w:t>
      </w:r>
      <w:r>
        <w:t>Результат для США не доказывает дополнительной полезности американского индекса для еврозоны. Совпадение кризисов и высоких значений NFCI не идентифицирует причинный канал. Значимая зависимость внутри выборки и качество будущего прогноза требуют раздельного обсуждения.</w:t>
      </w:r>
    </w:p>
    <w:p>
      <w:r>
        <w:rPr>
          <w:b/>
        </w:rPr>
        <w:t xml:space="preserve">Для диплома. </w:t>
      </w:r>
      <w:r>
        <w:t>Беру определение условного риска и компактную QR-спецификацию. Не переношу автоматически вывод об эффективности NFCI. Для главного 10-го процентиля полная параметрическая плотность не обязательна; её построение увеличит число допущений.</w:t>
      </w:r>
    </w:p>
    <w:p>
      <w:r>
        <w:rPr>
          <w:b/>
        </w:rPr>
        <w:t xml:space="preserve">Опора. </w:t>
      </w:r>
      <w:r>
        <w:t>papers/S01.pdf: PDF с. 2, 8, 12, 17, 24.</w:t>
      </w:r>
    </w:p>
    <w:p>
      <w:pPr>
        <w:pStyle w:val="Heading2"/>
      </w:pPr>
      <w:r>
        <w:t>S02 Разбор доступной полной версии</w:t>
      </w:r>
    </w:p>
    <w:p>
      <w:pPr>
        <w:keepNext/>
      </w:pPr>
      <w:r>
        <w:rPr>
          <w:b/>
        </w:rPr>
        <w:t>Chavleishvili, Sulkhan; Kremer, Manfred. Measuring Systemic Financial Stress and Its Risks for Growth. ECB Working Paper 2842, 2023.</w:t>
      </w:r>
    </w:p>
    <w:p>
      <w:pPr>
        <w:keepNext/>
      </w:pPr>
      <w:r>
        <w:rPr>
          <w:sz w:val="20"/>
        </w:rPr>
        <w:t>https://doi.org/10.2139/ssrn.4551569</w:t>
      </w:r>
    </w:p>
    <w:p>
      <w:r>
        <w:rPr>
          <w:b/>
        </w:rPr>
        <w:t xml:space="preserve">Вопрос и данные. </w:t>
      </w:r>
      <w:r>
        <w:t>Как построить сопоставимый показатель системного финансового стресса и связать его с рисками роста? Представлена обновлённая дневная версия CISS для США и еврозоны. История индексов начинается соответственно в январе 1973 и январе 1980 года; рассмотренные графики доходят до июля 2022 года.</w:t>
      </w:r>
    </w:p>
    <w:p>
      <w:r>
        <w:rPr>
          <w:b/>
        </w:rPr>
        <w:t xml:space="preserve">Модель и проверка. </w:t>
      </w:r>
      <w:r>
        <w:t>Компоненты агрегируются с учётом меняющихся межрыночных корреляций. Применяются одноуравневые квантильные регрессии и системная квантильная модель. Сравнение индикаторов в соответствующем разделе является внутривыборочным; часть анализа использует месячный ВВП, полученный интерполяцией квартального ряда.</w:t>
      </w:r>
    </w:p>
    <w:p>
      <w:r>
        <w:rPr>
          <w:b/>
        </w:rPr>
        <w:t xml:space="preserve">Результат. </w:t>
      </w:r>
      <w:r>
        <w:t>Связь CISS с ростом сильнее в нижней части распределения. Сравнение с NFCI чувствительно к началу периода: включение американских наблюдений 1973–1979 годов заметно улучшает относительный результат NFCI. Следовательно, нельзя объявлять CISS универсально лучшим индикатором.</w:t>
      </w:r>
    </w:p>
    <w:p>
      <w:r>
        <w:rPr>
          <w:b/>
        </w:rPr>
        <w:t xml:space="preserve">Ограничения. </w:t>
      </w:r>
      <w:r>
        <w:t>Интерполяция ВВП не создаёт независимых месячных наблюдений. Импульсные реакции системной модели опираются на дополнительные предпосылки и не равнозначны прогнозному выигрышу. Новая версия CISS не тождественна исходному индексу 2012 года.</w:t>
      </w:r>
    </w:p>
    <w:p>
      <w:r>
        <w:rPr>
          <w:b/>
        </w:rPr>
        <w:t xml:space="preserve">Для диплома. </w:t>
      </w:r>
      <w:r>
        <w:t>Работа обосновывает прямое сравнение NFCI и американского CISS на одинаковом периоде, а также проверку чувствительности к его границам. Необходимо зафиксировать точный код, частоту и версию каждого скачанного ряда.</w:t>
      </w:r>
    </w:p>
    <w:p>
      <w:r>
        <w:rPr>
          <w:b/>
        </w:rPr>
        <w:t xml:space="preserve">Опора. </w:t>
      </w:r>
      <w:r>
        <w:t>papers/S02.pdf: PDF с. 20, 27–31; определения индекса в методическом разделе.</w:t>
      </w:r>
    </w:p>
    <w:p>
      <w:pPr>
        <w:pStyle w:val="Heading2"/>
      </w:pPr>
      <w:r>
        <w:t>S03 Разбор доступной полной версии</w:t>
      </w:r>
    </w:p>
    <w:p>
      <w:pPr>
        <w:keepNext/>
      </w:pPr>
      <w:r>
        <w:rPr>
          <w:b/>
        </w:rPr>
        <w:t>Clark, Todd E.; Huber, Florian; Koop, Gary M.; Marcellino, Massimiliano Giuseppe; Pfarrhofer, Michael. Investigating Growth-at-Risk Using a Multicountry Nonparametric Quantile Factor Model. Journal of Business and Economic Statistics, 2024.</w:t>
      </w:r>
    </w:p>
    <w:p>
      <w:pPr>
        <w:keepNext/>
      </w:pPr>
      <w:r>
        <w:rPr>
          <w:sz w:val="20"/>
        </w:rPr>
        <w:t>https://doi.org/10.1080/07350015.2024.2310020</w:t>
      </w:r>
    </w:p>
    <w:p>
      <w:r>
        <w:rPr>
          <w:b/>
        </w:rPr>
        <w:t xml:space="preserve">Вопрос и данные. </w:t>
      </w:r>
      <w:r>
        <w:t>Улучшают ли международная информация и нелинейность прогноз распределения роста? В доступной рабочей версии рассматриваются 11 развитых стран, 1975Q1–2020Q4, квартальный рост ВВП OECD и индексы CISS. Среди стран есть США и несколько членов еврозоны.</w:t>
      </w:r>
    </w:p>
    <w:p>
      <w:r>
        <w:rPr>
          <w:b/>
        </w:rPr>
        <w:t xml:space="preserve">Модель и проверка. </w:t>
      </w:r>
      <w:r>
        <w:t>Байесовская панельная квантильная модель объединяет линейную часть и нелинейную функцию BART, общие факторы и регуляризацию. Сопоставляются собственные показатели страны и показатели всех стран. Рекурсивное прогнозирование охватывает 1990Q1–2020Q4, горизонты один и четыре квартала; используются квантильные и взвешенные распределительные оценки.</w:t>
      </w:r>
    </w:p>
    <w:p>
      <w:r>
        <w:rPr>
          <w:b/>
        </w:rPr>
        <w:t xml:space="preserve">Результат. </w:t>
      </w:r>
      <w:r>
        <w:t>Международная информация и гибкость модели часто улучшают прогноз относительно отдельной линейной модели страны. Выигрыш заметнее в хвостах; нелинейность востребована неодинаково на разных квантилях.</w:t>
      </w:r>
    </w:p>
    <w:p>
      <w:r>
        <w:rPr>
          <w:b/>
        </w:rPr>
        <w:t xml:space="preserve">Ограничения. </w:t>
      </w:r>
      <w:r>
        <w:t>Это совместное изменение информационного набора, способа объединения стран и функциональной формы. Полученный выигрыш нельзя полностью приписать одному американскому индикатору. Выводы относятся к рабочей версии 2021 года, приложенной к записи журнальной публикации 2024 года.</w:t>
      </w:r>
    </w:p>
    <w:p>
      <w:r>
        <w:rPr>
          <w:b/>
        </w:rPr>
        <w:t xml:space="preserve">Для диплома. </w:t>
      </w:r>
      <w:r>
        <w:t>Нельзя заявлять новизну самого включения зарубежных финансовых переменных в GaR. Наш более узкий вклад — отделить добавочную информацию США в простой и прозрачной модели агрегата еврозоны. Панельный BART не нужен для выполнения этого вопроса.</w:t>
      </w:r>
    </w:p>
    <w:p>
      <w:r>
        <w:rPr>
          <w:b/>
        </w:rPr>
        <w:t xml:space="preserve">Опора. </w:t>
      </w:r>
      <w:r>
        <w:t>papers/S03.pdf: PDF с. 12–13, 23; рабочая версия от 8 октября 2021 года.</w:t>
      </w:r>
    </w:p>
    <w:p>
      <w:pPr>
        <w:pStyle w:val="Heading2"/>
      </w:pPr>
      <w:r>
        <w:t>S04 Разбор доступной полной версии</w:t>
      </w:r>
    </w:p>
    <w:p>
      <w:pPr>
        <w:keepNext/>
      </w:pPr>
      <w:r>
        <w:rPr>
          <w:b/>
        </w:rPr>
        <w:t>Plagborg‐Møller, Mikkel; Reichlin, Lucrezia; Ricco, G.; Hasenzagl, Thomas. When Is Growth at Risk?. Brookings Papers on Economic Activity, 2020.</w:t>
      </w:r>
    </w:p>
    <w:p>
      <w:pPr>
        <w:keepNext/>
      </w:pPr>
      <w:r>
        <w:rPr>
          <w:sz w:val="20"/>
        </w:rPr>
        <w:t>https://doi.org/10.1353/eca.2020.0002</w:t>
      </w:r>
    </w:p>
    <w:p>
      <w:r>
        <w:rPr>
          <w:b/>
        </w:rPr>
        <w:t xml:space="preserve">Вопрос и данные. </w:t>
      </w:r>
      <w:r>
        <w:t>Насколько реально предсказуемы риски роста и добавляют ли финансовые показатели информацию к макроэкономическим данным? Работа использует США и международное сопоставление развитых экономик; разные эмпирические упражнения имеют разные периоды. Один общий интервал для всех результатов указывать некорректно.</w:t>
      </w:r>
    </w:p>
    <w:p>
      <w:r>
        <w:rPr>
          <w:b/>
        </w:rPr>
        <w:t xml:space="preserve">Модель и проверка. </w:t>
      </w:r>
      <w:r>
        <w:t>Авторы исследуют условные моменты распределения и проводят прогнозные сравнения с учётом информации в реальном времени. Особое внимание уделено тому, остаётся ли финансовый сигнал после включения показателей реальной активности и своевременных опросов.</w:t>
      </w:r>
    </w:p>
    <w:p>
      <w:r>
        <w:rPr>
          <w:b/>
        </w:rPr>
        <w:t xml:space="preserve">Результат. </w:t>
      </w:r>
      <w:r>
        <w:t>Финансовые индикаторы содержат меньше независимой информации, чем можно заключить из простых графиков кризисов. Оценка меняющейся асимметрии и других высших моментов неточна. Сигнал финансовых рынков не позволяет надёжно предвидеть масштаб необычного шока.</w:t>
      </w:r>
    </w:p>
    <w:p>
      <w:r>
        <w:rPr>
          <w:b/>
        </w:rPr>
        <w:t xml:space="preserve">Ограничения. </w:t>
      </w:r>
      <w:r>
        <w:t>Критика не означает, что любой финансовый показатель бесполезен во всех странах и периодах. Сила вывода зависит от доступного информационного набора и метода оценки. Нельзя трактовать отсутствие убедительного выигрыша как доказательство нулевого экономического механизма.</w:t>
      </w:r>
    </w:p>
    <w:p>
      <w:r>
        <w:rPr>
          <w:b/>
        </w:rPr>
        <w:t xml:space="preserve">Для диплома. </w:t>
      </w:r>
      <w:r>
        <w:t>Это основание включить ESI в базовую модель и сравнивать добавление США именно после учёта внутренней конъюнктуры. Модель без опросного показателя была бы слишком слабым эталоном. Нулевой добавочный результат остаётся содержательным итогом диплома.</w:t>
      </w:r>
    </w:p>
    <w:p>
      <w:r>
        <w:rPr>
          <w:b/>
        </w:rPr>
        <w:t xml:space="preserve">Опора. </w:t>
      </w:r>
      <w:r>
        <w:t>papers/S04.pdf: введение, PDF с. 5–8, заключительная дискуссия с. 39; версия от 2 июля 2020 года.</w:t>
      </w:r>
    </w:p>
    <w:p>
      <w:pPr>
        <w:pStyle w:val="Heading2"/>
      </w:pPr>
      <w:r>
        <w:t>S05 Предварительный разбор</w:t>
      </w:r>
    </w:p>
    <w:p>
      <w:pPr>
        <w:keepNext/>
      </w:pPr>
      <w:r>
        <w:rPr>
          <w:b/>
        </w:rPr>
        <w:t>Brownlees, Christian T.; Souza, André B.M.. Backtesting Global Growth-at-Risk. Journal of Monetary Economics, 2021.</w:t>
      </w:r>
    </w:p>
    <w:p>
      <w:pPr>
        <w:keepNext/>
      </w:pPr>
      <w:r>
        <w:rPr>
          <w:sz w:val="20"/>
        </w:rPr>
        <w:t>https://doi.org/10.1016/j.jmoneco.2020.11.003</w:t>
      </w:r>
    </w:p>
    <w:p>
      <w:r>
        <w:rPr>
          <w:b/>
        </w:rPr>
        <w:t xml:space="preserve">Вопрос и доступные сведения. </w:t>
      </w:r>
      <w:r>
        <w:t>Сравниваются вневыборочные GaR-прогнозы для 24 стран OECD, полученные квантильными регрессиями и GARCH. По аннотации авторов их качество сопоставимо, причём стандартные модели волатильности могут оказаться точнее.</w:t>
      </w:r>
    </w:p>
    <w:p>
      <w:r>
        <w:rPr>
          <w:b/>
        </w:rPr>
        <w:t xml:space="preserve">Что не установлено. </w:t>
      </w:r>
      <w:r>
        <w:t>Полный текст не получен. Конкретные даты выборки, варианты финансовых предикторов, настройки GARCH, тесты и размеры выигрыша по странам здесь не подтверждены. Повторная загрузка SSRN завершилась HTTP 403.</w:t>
      </w:r>
    </w:p>
    <w:p>
      <w:r>
        <w:rPr>
          <w:b/>
        </w:rPr>
        <w:t xml:space="preserve">Для диплома. </w:t>
      </w:r>
      <w:r>
        <w:t>Статья ставит полезный вопрос: выигрывает ли финансовая QR-модель у простой модели меняющейся волатильности? Предлагаю добавить один заранее определённый такой эталон после проверки его устойчивой оценки. Не следует подбирать семейство GARCH по финальной тестовой выборке.</w:t>
      </w:r>
    </w:p>
    <w:p>
      <w:r>
        <w:rPr>
          <w:b/>
        </w:rPr>
        <w:t xml:space="preserve">Опора. </w:t>
      </w:r>
      <w:r>
        <w:t>Аннотация издателя: https://www.sciencedirect.com/science/article/pii/S0304393220301288 . DOI 10.1016/j.jmoneco.2020.11.003. Статус — предварительный разбор, PDF отсутствует.</w:t>
      </w:r>
    </w:p>
    <w:p>
      <w:pPr>
        <w:pStyle w:val="Heading2"/>
      </w:pPr>
      <w:r>
        <w:t>S06 Разбор доступной полной версии</w:t>
      </w:r>
    </w:p>
    <w:p>
      <w:pPr>
        <w:keepNext/>
      </w:pPr>
      <w:r>
        <w:rPr>
          <w:b/>
        </w:rPr>
        <w:t>Adrian, Tobias; Grinberg, Federico; Liang, Nellie; Malik, Sheheryar; Yu, Jie. The Term Structure of Growth-at-Risk. American Economic Journal Macroeconomics, 2022.</w:t>
      </w:r>
    </w:p>
    <w:p>
      <w:pPr>
        <w:keepNext/>
      </w:pPr>
      <w:r>
        <w:rPr>
          <w:sz w:val="20"/>
        </w:rPr>
        <w:t>https://doi.org/10.1257/mac.20180428</w:t>
      </w:r>
    </w:p>
    <w:p>
      <w:r>
        <w:rPr>
          <w:b/>
        </w:rPr>
        <w:t xml:space="preserve">Вопрос и данные. </w:t>
      </w:r>
      <w:r>
        <w:t>Одинаково ли финансовые условия связаны с ближайшими и отдалёнными рисками роста? Рассматриваются 11 развитых экономик, финансовые условия, рост кредита к ВВП, инфляция и рост выпуска. Для большинства стран данные начинаются в 1970-х или 1980-х годах и доходят до 2017 года.</w:t>
      </w:r>
    </w:p>
    <w:p>
      <w:r>
        <w:rPr>
          <w:b/>
        </w:rPr>
        <w:t xml:space="preserve">Модель и проверка. </w:t>
      </w:r>
      <w:r>
        <w:t>Панельные квантильные регрессии оцениваются для нескольких горизонтов до трёх лет. Вводится индикатор кредитного бума, связывающий мягкие финансовые условия и быстрый кредитный рост. Основная задача — оценить временную структуру рисков, а не доказать превосходство одного короткого прогнозного алгоритма.</w:t>
      </w:r>
    </w:p>
    <w:p>
      <w:r>
        <w:rPr>
          <w:b/>
        </w:rPr>
        <w:t xml:space="preserve">Результат. </w:t>
      </w:r>
      <w:r>
        <w:t>Мягкие финансовые условия могут сопровождаться более благоприятными ближайшими перспективами и одновременно накоплением среднесрочных уязвимостей. Быстрый кредитный рост усиливает этот межвременной компромисс.</w:t>
      </w:r>
    </w:p>
    <w:p>
      <w:r>
        <w:rPr>
          <w:b/>
        </w:rPr>
        <w:t xml:space="preserve">Ограничения. </w:t>
      </w:r>
      <w:r>
        <w:t>Разные горизонты отражают разные механизмы. Результат панели нельзя непосредственно переносить на агрегат еврозоны. Особые идентификационные упражнения статьи не делают любую обычную квантильную регрессию причинной моделью.</w:t>
      </w:r>
    </w:p>
    <w:p>
      <w:r>
        <w:rPr>
          <w:b/>
        </w:rPr>
        <w:t xml:space="preserve">Для диплома. </w:t>
      </w:r>
      <w:r>
        <w:t>Результаты для одного и четырёх кварталов следует обсуждать отдельно. Различие знаков или прогнозного выигрыша не обязательно означает ошибку. Расширять диплом до 12 кварталов не предлагаю: это изменит вопрос и уменьшит доступную тестовую выборку.</w:t>
      </w:r>
    </w:p>
    <w:p>
      <w:r>
        <w:rPr>
          <w:b/>
        </w:rPr>
        <w:t xml:space="preserve">Опора. </w:t>
      </w:r>
      <w:r>
        <w:t>papers/S06.pdf: PDF с. 5–6, 15–16, 39; приложенная версия IMF WP 18/180 с обновлённым составом авторов.</w:t>
      </w:r>
    </w:p>
    <w:p>
      <w:pPr>
        <w:pStyle w:val="Heading2"/>
      </w:pPr>
      <w:r>
        <w:t>S07 Разбор доступной полной версии</w:t>
      </w:r>
    </w:p>
    <w:p>
      <w:pPr>
        <w:keepNext/>
      </w:pPr>
      <w:r>
        <w:rPr>
          <w:b/>
        </w:rPr>
        <w:t>Prasad, Ananthakrishnan; Elekdağ, Selim; Jeasakul, Phakawa; Lafarguette, Romain; Alter, Adrian; Feng, Alan; Wang, Changchun. Growth at Risk: Concept and Application in IMF Country Surveillance. Imf Working Paper, 2019.</w:t>
      </w:r>
    </w:p>
    <w:p>
      <w:pPr>
        <w:keepNext/>
      </w:pPr>
      <w:r>
        <w:rPr>
          <w:sz w:val="20"/>
        </w:rPr>
        <w:t>https://doi.org/10.5089/9781484397015.001</w:t>
      </w:r>
    </w:p>
    <w:p>
      <w:r>
        <w:rPr>
          <w:b/>
        </w:rPr>
        <w:t xml:space="preserve">Вопрос и данные. </w:t>
      </w:r>
      <w:r>
        <w:t>Как применять GaR в страновом макрофинансовом анализе? Это методическое руководство МВФ с примерами, а не единый прогнозный эксперимент. Обсуждаются квартальные данные по финансовым условиям, уязвимостям и макроэкономической динамике.</w:t>
      </w:r>
    </w:p>
    <w:p>
      <w:r>
        <w:rPr>
          <w:b/>
        </w:rPr>
        <w:t xml:space="preserve">Модель и проверка. </w:t>
      </w:r>
      <w:r>
        <w:t>Предикторы объединяются в небольшое число экономически интерпретируемых групп. Квантильные регрессии используются для построения распределения будущего роста и сценарных оценок. В руководстве прямо ограничен охват формальной оценки качества прогнозной плотности.</w:t>
      </w:r>
    </w:p>
    <w:p>
      <w:r>
        <w:rPr>
          <w:b/>
        </w:rPr>
        <w:t xml:space="preserve">Результат. </w:t>
      </w:r>
      <w:r>
        <w:t>GaR позволяет переводить набор макрофинансовых индикаторов в понятный показатель неблагоприятных исходов и сопоставлять сценарии. Практическая полезность зависит от осмысленных предикторов, аккуратных преобразований и экономической интерпретации.</w:t>
      </w:r>
    </w:p>
    <w:p>
      <w:r>
        <w:rPr>
          <w:b/>
        </w:rPr>
        <w:t xml:space="preserve">Ограничения. </w:t>
      </w:r>
      <w:r>
        <w:t>Методическое применение не доказывает превосходство модели в независимом прогнозном сравнении. Сценарная зависимость в сокращённой форме не равна причинному эффекту изменения ставки или кредита. Большое число групп может перегрузить короткую выборку.</w:t>
      </w:r>
    </w:p>
    <w:p>
      <w:r>
        <w:rPr>
          <w:b/>
        </w:rPr>
        <w:t xml:space="preserve">Для диплома. </w:t>
      </w:r>
      <w:r>
        <w:t>Беру последовательность описания данных, модели и сценариев. В главе рекомендаций предлагаю правила мониторинга сигналов, а не решения о ставке ЕЦБ. Наш обязательный отдельный этап — вневыборочная оценка, которой нельзя заменить иллюстративными графиками.</w:t>
      </w:r>
    </w:p>
    <w:p>
      <w:r>
        <w:rPr>
          <w:b/>
        </w:rPr>
        <w:t xml:space="preserve">Опора. </w:t>
      </w:r>
      <w:r>
        <w:t>papers/S07.pdf: PDF с. 26–28, 32; Growth at Risk Concept and Application in IMF Country Surveillance.</w:t>
      </w:r>
    </w:p>
    <w:p>
      <w:pPr>
        <w:pStyle w:val="Heading2"/>
      </w:pPr>
      <w:r>
        <w:t>S08 Разбор доступной полной версии</w:t>
      </w:r>
    </w:p>
    <w:p>
      <w:pPr>
        <w:keepNext/>
      </w:pPr>
      <w:r>
        <w:rPr>
          <w:b/>
        </w:rPr>
        <w:t>Figueres, Juan Manuel; Jarociński, Marek. Vulnerable Growth in the Euro Area: Measuring the Financial Conditions. Economics Letters, 2020.</w:t>
      </w:r>
    </w:p>
    <w:p>
      <w:pPr>
        <w:keepNext/>
      </w:pPr>
      <w:r>
        <w:rPr>
          <w:sz w:val="20"/>
        </w:rPr>
        <w:t>https://doi.org/10.1016/j.econlet.2020.109126</w:t>
      </w:r>
    </w:p>
    <w:p>
      <w:r>
        <w:rPr>
          <w:b/>
        </w:rPr>
        <w:t xml:space="preserve">Вопрос и данные. </w:t>
      </w:r>
      <w:r>
        <w:t>Работает ли идея vulnerable growth для еврозоны и какой финансовый показатель предпочтителен? Сравниваются спреды, волатильность, первая главная компонента и CISS. В основном сравнении даты предикторов — 1999Q1–2018Q2, а годовой рост использует ВВП до 2019Q2.</w:t>
      </w:r>
    </w:p>
    <w:p>
      <w:r>
        <w:rPr>
          <w:b/>
        </w:rPr>
        <w:t xml:space="preserve">Модель и проверка. </w:t>
      </w:r>
      <w:r>
        <w:t>Оцениваются 10-й, 50-й и 90-й процентили будущего роста; менее экстремальные квантили выбраны из-за короткой выборки. В приложении есть псевдовневыборочное сравнение логарифмических оценок прогнозной плотности.</w:t>
      </w:r>
    </w:p>
    <w:p>
      <w:r>
        <w:rPr>
          <w:b/>
        </w:rPr>
        <w:t xml:space="preserve">Результат. </w:t>
      </w:r>
      <w:r>
        <w:t>Выбор индекса существенен. CISS и межбанковский TED-спред хорошо отражают нижний хвост, тогда как простая первая главная компонента менее информативна. В приложенном сравнении плотностей лучший средний log score у CISS.</w:t>
      </w:r>
    </w:p>
    <w:p>
      <w:r>
        <w:rPr>
          <w:b/>
        </w:rPr>
        <w:t xml:space="preserve">Ограничения. </w:t>
      </w:r>
      <w:r>
        <w:t>Основные коэффициенты и качество подгонки не равнозначны независимому прогнозному выигрышу. Это сравнение финансовых индикаторов еврозоны, а не американского добавочного сигнала после ESI. Использованный CISS относится к соответствующей версии данных.</w:t>
      </w:r>
    </w:p>
    <w:p>
      <w:r>
        <w:rPr>
          <w:b/>
        </w:rPr>
        <w:t xml:space="preserve">Для диплома. </w:t>
      </w:r>
      <w:r>
        <w:t>Статья обосновывает внутренний CISS в базовой модели и выбор 10-го процентиля. Её удобно взять отправной точкой: сохраняю известную рамку для еврозоны и проверяю добавочную информацию США. Это допустимая прикладная оригинальность без заявления о новом методе.</w:t>
      </w:r>
    </w:p>
    <w:p>
      <w:r>
        <w:rPr>
          <w:b/>
        </w:rPr>
        <w:t xml:space="preserve">Опора. </w:t>
      </w:r>
      <w:r>
        <w:t>papers/S08.pdf: PDF с. 6, 9, 13, 20; ECB WP 2458, приложение, таблица A3.</w:t>
      </w:r>
    </w:p>
    <w:p>
      <w:pPr>
        <w:pStyle w:val="Heading2"/>
      </w:pPr>
      <w:r>
        <w:t>S09 Предварительный разбор</w:t>
      </w:r>
    </w:p>
    <w:p>
      <w:pPr>
        <w:keepNext/>
      </w:pPr>
      <w:r>
        <w:rPr>
          <w:b/>
        </w:rPr>
        <w:t>Cho, Dooyeon; Rho, Seunghwa. Reassessing Growth Vulnerability. Journal of Applied Econometrics, 2024.</w:t>
      </w:r>
    </w:p>
    <w:p>
      <w:pPr>
        <w:keepNext/>
      </w:pPr>
      <w:r>
        <w:rPr>
          <w:sz w:val="20"/>
        </w:rPr>
        <w:t>https://doi.org/10.1002/jae.3005</w:t>
      </w:r>
    </w:p>
    <w:p>
      <w:r>
        <w:rPr>
          <w:b/>
        </w:rPr>
        <w:t xml:space="preserve">Вопрос и доступные сведения. </w:t>
      </w:r>
      <w:r>
        <w:t>Авторы повторно проверяют vulnerable growth с учётом высокой устойчивости финансового предиктора. По аннотации применяются IVX-QR и двойное взвешивание; исходный вывод сохраняется, а прогнозы нижних квантилей могут улучшаться.</w:t>
      </w:r>
    </w:p>
    <w:p>
      <w:r>
        <w:rPr>
          <w:b/>
        </w:rPr>
        <w:t xml:space="preserve">Что не установлено. </w:t>
      </w:r>
      <w:r>
        <w:t>Полного текста нет; численные результаты и настройки оценивания не проверены. Онлайн-публикация датирована 2023 годом, журнальный выпуск — 2024. Это не статья, опровергающая всю исходную рамку.</w:t>
      </w:r>
    </w:p>
    <w:p>
      <w:r>
        <w:rPr>
          <w:b/>
        </w:rPr>
        <w:t xml:space="preserve">Для диплома. </w:t>
      </w:r>
      <w:r>
        <w:t>Проверить динамику и устойчивость NFCI/CISS необходимо. Автоматически внедрять сложный IVX-QR до получения методических деталей не предлагаю. Работа мотивирует осторожность в статистическом выводе, а не механическое дифференцирование всех индексов.</w:t>
      </w:r>
    </w:p>
    <w:p>
      <w:r>
        <w:rPr>
          <w:b/>
        </w:rPr>
        <w:t xml:space="preserve">Опора. </w:t>
      </w:r>
      <w:r>
        <w:t>https://onlinelibrary.wiley.com/doi/abs/10.1002/jae.3005 ; приложение и репликационные материалы указаны издателем. Статус — предварительный разбор по аннотации.</w:t>
      </w:r>
    </w:p>
    <w:p>
      <w:pPr>
        <w:pStyle w:val="Heading2"/>
      </w:pPr>
      <w:r>
        <w:t>S10 Предварительный разбор</w:t>
      </w:r>
    </w:p>
    <w:p>
      <w:pPr>
        <w:keepNext/>
      </w:pPr>
      <w:r>
        <w:rPr>
          <w:b/>
        </w:rPr>
        <w:t>Long, Wei; Peng, Liang; Yang, Bingduo. Correlated Errors Challenge Vulnerable Growth. Journal of Applied Econometrics, 2025.</w:t>
      </w:r>
    </w:p>
    <w:p>
      <w:pPr>
        <w:keepNext/>
      </w:pPr>
      <w:r>
        <w:rPr>
          <w:sz w:val="20"/>
        </w:rPr>
        <w:t>https://doi.org/10.1002/jae.3136</w:t>
      </w:r>
    </w:p>
    <w:p>
      <w:r>
        <w:rPr>
          <w:b/>
        </w:rPr>
        <w:t xml:space="preserve">Вопрос и доступные сведения. </w:t>
      </w:r>
      <w:r>
        <w:t>Авторы проверяют коррелированность ошибок в исходной модели США. По аннотации после добавления двух лагов предикторов отдельный текущий финансовый показатель теряет значимость, но совместный эффект с лагами остаётся значимым.</w:t>
      </w:r>
    </w:p>
    <w:p>
      <w:r>
        <w:rPr>
          <w:b/>
        </w:rPr>
        <w:t xml:space="preserve">Что не установлено. </w:t>
      </w:r>
      <w:r>
        <w:t>Полный текст и реализация теста не получены. Нельзя объявлять финансовые условия бесполезными или переносить результаты непосредственно на нашу выборку. Простая поправка стандартных ошибок не обязательно устраняет неверную динамическую спецификацию.</w:t>
      </w:r>
    </w:p>
    <w:p>
      <w:r>
        <w:rPr>
          <w:b/>
        </w:rPr>
        <w:t xml:space="preserve">Для диплома. </w:t>
      </w:r>
      <w:r>
        <w:t>Предлагаю заранее ограниченную проверку дополнительных лагов и совместного финансового блока. Её нужно отделить от перебора лагов ради нужной значимости. Прогнозный выигрыш проверяется отдельно от тестов коэффициентов.</w:t>
      </w:r>
    </w:p>
    <w:p>
      <w:r>
        <w:rPr>
          <w:b/>
        </w:rPr>
        <w:t xml:space="preserve">Опора. </w:t>
      </w:r>
      <w:r>
        <w:t>https://onlinelibrary.wiley.com/doi/abs/10.1002/jae.3136 ; Journal of Applied Econometrics 40, 715–721, 2025. Статус — предварительный разбор по аннотации.</w:t>
      </w:r>
    </w:p>
    <w:p>
      <w:pPr>
        <w:pStyle w:val="Heading2"/>
      </w:pPr>
      <w:r>
        <w:t>S11 Разбор доступной полной версии</w:t>
      </w:r>
    </w:p>
    <w:p>
      <w:pPr>
        <w:keepNext/>
      </w:pPr>
      <w:r>
        <w:rPr>
          <w:b/>
        </w:rPr>
        <w:t>Corradi, Valentina; Fosten, Jack; Gutknecht, Daniel. Out-of-Sample Tests for Conditional Quantile Coverage an Application to Growth-at-Risk. Journal of Econometrics, 2023.</w:t>
      </w:r>
    </w:p>
    <w:p>
      <w:pPr>
        <w:keepNext/>
      </w:pPr>
      <w:r>
        <w:rPr>
          <w:sz w:val="20"/>
        </w:rPr>
        <w:t>https://doi.org/10.1016/j.jeconom.2023.105490</w:t>
      </w:r>
    </w:p>
    <w:p>
      <w:r>
        <w:rPr>
          <w:b/>
        </w:rPr>
        <w:t xml:space="preserve">Вопрос и данные. </w:t>
      </w:r>
      <w:r>
        <w:t>Как сравнивать условное покрытие квантильных прогнозов нескольких моделей? Эмпирический пример использует ВВП и промышленное производство США; доступны квартальные и месячные данные с 1971 года до начала 2023 года.</w:t>
      </w:r>
    </w:p>
    <w:p>
      <w:r>
        <w:rPr>
          <w:b/>
        </w:rPr>
        <w:t xml:space="preserve">Модель и проверка. </w:t>
      </w:r>
      <w:r>
        <w:t>Предлагаются тесты различий ошибок условного покрытия, включая несколько моделей и квантилей, с wild bootstrap. Сравниваются QAR с NFCI, рыночной волатильностью и другими предикторами. Для квартального и месячного выпуска предусмотрены разные горизонты и длины тестового периода.</w:t>
      </w:r>
    </w:p>
    <w:p>
      <w:r>
        <w:rPr>
          <w:b/>
        </w:rPr>
        <w:t xml:space="preserve">Результат. </w:t>
      </w:r>
      <w:r>
        <w:t>В квартальном примере нет убедительного отклонения нулевой гипотезы в пользу превосходства альтернатив над NFCI. Месячные результаты сильнее зависят от конкретного сравнения. Совместная проверка множества моделей может изменить вывод по сравнению с отдельными парными тестами.</w:t>
      </w:r>
    </w:p>
    <w:p>
      <w:r>
        <w:rPr>
          <w:b/>
        </w:rPr>
        <w:t xml:space="preserve">Ограничения. </w:t>
      </w:r>
      <w:r>
        <w:t>Проверяется определённая функция ошибок покрытия. Это не стандартный тест разности pinball loss и не автоматическое доказательство оптимальности модели по всем критериям. Неотклонение гипотезы не доказывает равенство прогнозов.</w:t>
      </w:r>
    </w:p>
    <w:p>
      <w:r>
        <w:rPr>
          <w:b/>
        </w:rPr>
        <w:t xml:space="preserve">Для диплома. </w:t>
      </w:r>
      <w:r>
        <w:t>Разделяю точность по квантильной потере, безусловное покрытие и условную калибровку. Продвинутый тест допустим лишь после проверки его предпосылок; короткий период 2022–2025 годов не годится для сильного вывода о хвостовом покрытии.</w:t>
      </w:r>
    </w:p>
    <w:p>
      <w:r>
        <w:rPr>
          <w:b/>
        </w:rPr>
        <w:t xml:space="preserve">Опора. </w:t>
      </w:r>
      <w:r>
        <w:t>papers/S11.pdf: PDF с. 21–24, разделы 6–7 и таблица 6.</w:t>
      </w:r>
    </w:p>
    <w:p>
      <w:pPr>
        <w:pStyle w:val="Heading2"/>
      </w:pPr>
      <w:r>
        <w:t>S12 Разбор доступной полной версии</w:t>
      </w:r>
    </w:p>
    <w:p>
      <w:pPr>
        <w:keepNext/>
      </w:pPr>
      <w:r>
        <w:rPr>
          <w:b/>
        </w:rPr>
        <w:t>Lang, Jan Hannes; Rusnák, Marek; Greiwe, Moritz. Medium-Term Growth-at-Risk in the Euro Area. ECB Working Paper 2808, 2023.</w:t>
      </w:r>
    </w:p>
    <w:p>
      <w:pPr>
        <w:keepNext/>
      </w:pPr>
      <w:r>
        <w:rPr>
          <w:sz w:val="20"/>
        </w:rPr>
        <w:t>https://doi.org/10.2139/ssrn.4424153</w:t>
      </w:r>
    </w:p>
    <w:p>
      <w:r>
        <w:rPr>
          <w:b/>
        </w:rPr>
        <w:t xml:space="preserve">Вопрос и данные. </w:t>
      </w:r>
      <w:r>
        <w:t>Какие показатели объясняют среднесрочный GaR в Европе? Несбалансированная квартальная панель включает 19 стран еврозоны, Данию, Швецию и Великобританию; ранние наблюдения начинаются в 1970 году, но фактическая доступность сильно различается.</w:t>
      </w:r>
    </w:p>
    <w:p>
      <w:r>
        <w:rPr>
          <w:b/>
        </w:rPr>
        <w:t xml:space="preserve">Модель и проверка. </w:t>
      </w:r>
      <w:r>
        <w:t>Используются панельные квантильные локальные проекции с фиксированными эффектами. Сравниваются стресс, ESI, кредитные и иные показатели уязвимости. В одном вневыборочном упражнении 2000Q1–2019Q4 параметры фиксированы, а не переоцениваются каждый квартал. Определение горизонта относится к будущему годичному росту и требует внимательной сверки.</w:t>
      </w:r>
    </w:p>
    <w:p>
      <w:r>
        <w:rPr>
          <w:b/>
        </w:rPr>
        <w:t xml:space="preserve">Результат. </w:t>
      </w:r>
      <w:r>
        <w:t>Финансовый стресс полезнее на коротких горизонтах, накопленные уязвимости — на средних. Циклический системный индикатор SRI хорошо проявляет себя относительно ряда кредитных альтернатив. Объединение информации стран помогает анализу агрегата.</w:t>
      </w:r>
    </w:p>
    <w:p>
      <w:r>
        <w:rPr>
          <w:b/>
        </w:rPr>
        <w:t xml:space="preserve">Ограничения. </w:t>
      </w:r>
      <w:r>
        <w:t>Среднесрочный годичный рост через несколько лет отличается от нашего кумулятивного роста за следующие четыре квартала. Панельные коэффициенты и фиксированная схема прогноза также ограничивают прямое сопоставление.</w:t>
      </w:r>
    </w:p>
    <w:p>
      <w:r>
        <w:rPr>
          <w:b/>
        </w:rPr>
        <w:t xml:space="preserve">Для диплома. </w:t>
      </w:r>
      <w:r>
        <w:t>Статья помогает объяснить, почему слабый результат американского стресса на более длинном горизонте экономически возможен. SRI и кредитный цикл оставляю направлением расширения, чтобы не менять основной исследовательский вопрос.</w:t>
      </w:r>
    </w:p>
    <w:p>
      <w:r>
        <w:rPr>
          <w:b/>
        </w:rPr>
        <w:t xml:space="preserve">Опора. </w:t>
      </w:r>
      <w:r>
        <w:t>papers/S12.pdf: PDF с. 8–9, 12–13, 33; разобрана версия ECB WP 2808, 2023.</w:t>
      </w:r>
    </w:p>
    <w:p>
      <w:pPr>
        <w:pStyle w:val="Heading2"/>
      </w:pPr>
      <w:r>
        <w:t>S13 Разбор доступной полной версии</w:t>
      </w:r>
    </w:p>
    <w:p>
      <w:pPr>
        <w:keepNext/>
      </w:pPr>
      <w:r>
        <w:rPr>
          <w:b/>
        </w:rPr>
        <w:t>Ferrara, Laurent; Mogliani, Matteo; Sahuc, Jean-Guillaume. High-Frequency Monitoring of Growth at Risk. International Journal of Forecasting, 2022.</w:t>
      </w:r>
    </w:p>
    <w:p>
      <w:pPr>
        <w:keepNext/>
      </w:pPr>
      <w:r>
        <w:rPr>
          <w:sz w:val="20"/>
        </w:rPr>
        <w:t>https://doi.org/10.1016/j.ijforecast.2021.06.010</w:t>
      </w:r>
    </w:p>
    <w:p>
      <w:r>
        <w:rPr>
          <w:b/>
        </w:rPr>
        <w:t xml:space="preserve">Вопрос и данные. </w:t>
      </w:r>
      <w:r>
        <w:t>Можно ли обновлять риски роста еврозоны ежедневно? Используются квартальные винтажи ВВП, дневные финансовые индикаторы и фактические даты публикаций. Основная историческая база винтажей начинается в 1999Q1; отдельно анализируется первая половина 2020 года.</w:t>
      </w:r>
    </w:p>
    <w:p>
      <w:r>
        <w:rPr>
          <w:b/>
        </w:rPr>
        <w:t xml:space="preserve">Модель и проверка. </w:t>
      </w:r>
      <w:r>
        <w:t>Байесовская MIDAS-квантильная модель связывает частые финансовые наблюдения с квартальной целью. Прогноз пересчитывается по мере поступления информации внутри квартала. Недоступный ещё лаг ВВП заменяется своевременным EuroCoin. Сравниваются плотности и нижний хвост с простыми альтернативами.</w:t>
      </w:r>
    </w:p>
    <w:p>
      <w:r>
        <w:rPr>
          <w:b/>
        </w:rPr>
        <w:t xml:space="preserve">Результат. </w:t>
      </w:r>
      <w:r>
        <w:t>Частое обновление помогает отслеживать изменение риска; представлен выигрыш по ряду прогнозных критериев. Сигналы прослеживаются вокруг европейского долгового кризиса и решений ЕЦБ.</w:t>
      </w:r>
    </w:p>
    <w:p>
      <w:r>
        <w:rPr>
          <w:b/>
        </w:rPr>
        <w:t xml:space="preserve">Ограничения. </w:t>
      </w:r>
      <w:r>
        <w:t>Nowcast текущего квартала и прогноз следующего квартала имеют разные информационные преимущества. Совпадение улучшения GaR с объявлением мер ЕЦБ не идентифицирует эффект политики. Настоящий календарь публикаций здесь принципиальная часть дизайна.</w:t>
      </w:r>
    </w:p>
    <w:p>
      <w:r>
        <w:rPr>
          <w:b/>
        </w:rPr>
        <w:t xml:space="preserve">Для диплома. </w:t>
      </w:r>
      <w:r>
        <w:t>Не копирую MIDAS, но использую требование доступности каждого предиктора на дату прогноза. Квартальное усреднение финансовых данных нужно описать точно. Произвольная задержка в семь дней не заменяет архив фактических публикаций и винтажей.</w:t>
      </w:r>
    </w:p>
    <w:p>
      <w:r>
        <w:rPr>
          <w:b/>
        </w:rPr>
        <w:t xml:space="preserve">Опора. </w:t>
      </w:r>
      <w:r>
        <w:t>papers/S13.pdf: PDF с. 4–5, 10, 19; версия CAMA 97/2020.</w:t>
      </w:r>
    </w:p>
    <w:p>
      <w:pPr>
        <w:pStyle w:val="Heading2"/>
      </w:pPr>
      <w:r>
        <w:t>S14 Разбор доступной полной версии</w:t>
      </w:r>
    </w:p>
    <w:p>
      <w:pPr>
        <w:keepNext/>
      </w:pPr>
      <w:r>
        <w:rPr>
          <w:b/>
        </w:rPr>
        <w:t>De Santis, Roberto A.; Van der Veken, Wouter. Forecasting Macroeconomic Risk in Real Time: Great and Covid-19 Recessions. ECB Working Paper 2436, 2020.</w:t>
      </w:r>
    </w:p>
    <w:p>
      <w:pPr>
        <w:keepNext/>
      </w:pPr>
      <w:r>
        <w:rPr>
          <w:sz w:val="20"/>
        </w:rPr>
        <w:t>https://doi.org/10.2139/ssrn.3641428</w:t>
      </w:r>
    </w:p>
    <w:p>
      <w:r>
        <w:rPr>
          <w:b/>
        </w:rPr>
        <w:t xml:space="preserve">Вопрос и данные. </w:t>
      </w:r>
      <w:r>
        <w:t>Как менялись оценки рисков роста США в реальном времени перед Великой рецессией и во время начала COVID-19? Рассматриваются последовательные доступные срезы данных, ВВП, PMI, CISS и корпоративные спреды.</w:t>
      </w:r>
    </w:p>
    <w:p>
      <w:r>
        <w:rPr>
          <w:b/>
        </w:rPr>
        <w:t xml:space="preserve">Модель и проверка. </w:t>
      </w:r>
      <w:r>
        <w:t>Квантильные регрессии и асимметричная t-плотность используются для прогноза на квартал и год. Четыре информационных набора сопоставляются по прогнозным плотностям и ошибкам; подробный разбор строится вокруг конкретных дат кризисных эпизодов.</w:t>
      </w:r>
    </w:p>
    <w:p>
      <w:r>
        <w:rPr>
          <w:b/>
        </w:rPr>
        <w:t xml:space="preserve">Результат. </w:t>
      </w:r>
      <w:r>
        <w:t>Перед крахом Lehman финансовые показатели сигнализировали о повышенных рисках даже при сравнительно благоприятных опубликованных данных ВВП. Пересмотры роста заметно меняют ретроспективную картину. Начало пандемии демонстрирует пределы прогнозирования необычных шоков.</w:t>
      </w:r>
    </w:p>
    <w:p>
      <w:r>
        <w:rPr>
          <w:b/>
        </w:rPr>
        <w:t xml:space="preserve">Ограничения. </w:t>
      </w:r>
      <w:r>
        <w:t>Небольшое число кризисных винтажей не равно длинному независимому тестовому периоду. Средняя ошибка точечного прогноза и качество нижнего квантиля измеряют разные свойства. Макрофинансовая модель не предсказывает возникновение вируса.</w:t>
      </w:r>
    </w:p>
    <w:p>
      <w:r>
        <w:rPr>
          <w:b/>
        </w:rPr>
        <w:t xml:space="preserve">Для диплома. </w:t>
      </w:r>
      <w:r>
        <w:t>Беру пример честного сопоставления доступных на тот момент данных и последующих пересмотров. Период после 2022 года можно подробно интерпретировать, но нельзя на его короткой истории строить главный статистический вывод.</w:t>
      </w:r>
    </w:p>
    <w:p>
      <w:r>
        <w:rPr>
          <w:b/>
        </w:rPr>
        <w:t xml:space="preserve">Опора. </w:t>
      </w:r>
      <w:r>
        <w:t>papers/S14.pdf: PDF с. 9–10, 19–20, 30; ECB WP 2436.</w:t>
      </w:r>
    </w:p>
    <w:p>
      <w:pPr>
        <w:pStyle w:val="Heading2"/>
      </w:pPr>
      <w:r>
        <w:t>S15 Разбор доступной полной версии</w:t>
      </w:r>
    </w:p>
    <w:p>
      <w:pPr>
        <w:keepNext/>
      </w:pPr>
      <w:r>
        <w:rPr>
          <w:b/>
        </w:rPr>
        <w:t>Carriero, Andrea; Clark, Todd E.; Marcellino, Massimiliano Giuseppe; Mertens, Elmar. Addressing COVID-19 Outliers in BVARs With Stochastic Volatility. The Review of Economics and Statistics, 2024.</w:t>
      </w:r>
    </w:p>
    <w:p>
      <w:pPr>
        <w:keepNext/>
      </w:pPr>
      <w:r>
        <w:rPr>
          <w:sz w:val="20"/>
        </w:rPr>
        <w:t>https://doi.org/10.1162/rest_a_01213</w:t>
      </w:r>
    </w:p>
    <w:p>
      <w:r>
        <w:rPr>
          <w:b/>
        </w:rPr>
        <w:t xml:space="preserve">Вопрос и данные. </w:t>
      </w:r>
      <w:r>
        <w:t>Как экстремальные наблюдения 2020–2021 годов искажают прогнозы макроэкономических моделей? Рассматриваются американские месячные макроданные и байесовские VAR; историческая вневыборочная проверка охватывает 1975M1–2017M12, а пандемия исследуется отдельно.</w:t>
      </w:r>
    </w:p>
    <w:p>
      <w:r>
        <w:rPr>
          <w:b/>
        </w:rPr>
        <w:t xml:space="preserve">Модель и проверка. </w:t>
      </w:r>
      <w:r>
        <w:t>Обычная стохастическая волатильность дополняется временными выбросами; вариант SVO-t допускает тяжёлые хвосты. Сопоставляются точечные и распределительные прогнозы. Важна возможность отличить краткий экстремальный эпизод от постоянного роста неопределённости.</w:t>
      </w:r>
    </w:p>
    <w:p>
      <w:r>
        <w:rPr>
          <w:b/>
        </w:rPr>
        <w:t xml:space="preserve">Результат. </w:t>
      </w:r>
      <w:r>
        <w:t>Стандартная SV-модель может слишком долго переносить огромную пандемийную волатильность в будущее. Моделирование выбросов помогает уменьшить это искажение. Проблема относится не только к среднему прогнозу, но и к ширине прогнозного распределения.</w:t>
      </w:r>
    </w:p>
    <w:p>
      <w:r>
        <w:rPr>
          <w:b/>
        </w:rPr>
        <w:t xml:space="preserve">Ограничения. </w:t>
      </w:r>
      <w:r>
        <w:t>Метод разработан для BVAR, а не для нашей линейной QR. Статья не даёт основания удалять любые наблюдения, ухудшающие результат. Пандемийный шок и ошибочно измеренное наблюдение — разные вещи.</w:t>
      </w:r>
    </w:p>
    <w:p>
      <w:r>
        <w:rPr>
          <w:b/>
        </w:rPr>
        <w:t xml:space="preserve">Для диплома. </w:t>
      </w:r>
      <w:r>
        <w:t>Пандемию не делаю темой диплома, но фиксирую правила обращения с экстремальными значениями. Основной результат и заранее оговорённая чувствительность должны сохраняться рядом; исключение плохих кварталов нельзя выдавать за полную проверку устойчивости.</w:t>
      </w:r>
    </w:p>
    <w:p>
      <w:r>
        <w:rPr>
          <w:b/>
        </w:rPr>
        <w:t xml:space="preserve">Опора. </w:t>
      </w:r>
      <w:r>
        <w:t>papers/S15.pdf: PDF с. 6–7, 18, 32; рабочая версия Cleveland Fed 21-02R, август 2021.</w:t>
      </w:r>
    </w:p>
    <w:p>
      <w:pPr>
        <w:pStyle w:val="Heading2"/>
      </w:pPr>
      <w:r>
        <w:t>S16 Разбор доступной полной версии</w:t>
      </w:r>
    </w:p>
    <w:p>
      <w:pPr>
        <w:keepNext/>
      </w:pPr>
      <w:r>
        <w:rPr>
          <w:b/>
        </w:rPr>
        <w:t>Adrian, Tobias; Sasaki, Yuya; Wang, Yulong. Robust Econometrics for Growth-at-Risk. Journal of Econometrics, 2026.</w:t>
      </w:r>
    </w:p>
    <w:p>
      <w:pPr>
        <w:keepNext/>
      </w:pPr>
      <w:r>
        <w:rPr>
          <w:sz w:val="20"/>
        </w:rPr>
        <w:t>https://doi.org/10.1016/j.jeconom.2026.106235</w:t>
      </w:r>
    </w:p>
    <w:p>
      <w:r>
        <w:rPr>
          <w:b/>
        </w:rPr>
        <w:t xml:space="preserve">Вопрос и данные. </w:t>
      </w:r>
      <w:r>
        <w:t>Какие ограничения накладывает привычная оценка хвостов GaR? Авторы предлагают метод, допускающий изменение хвостового показателя, и применяют его к длинной истории США. В архиве arXiv v3 от 13 марта 2026 года.</w:t>
      </w:r>
    </w:p>
    <w:p>
      <w:r>
        <w:rPr>
          <w:b/>
        </w:rPr>
        <w:t xml:space="preserve">Модель и проверка. </w:t>
      </w:r>
      <w:r>
        <w:t>Предлагается специальная хвостовая эконометрика; приводятся теоретические результаты, симуляции, исторические прогнозы и сценарии финансового стресса. В эмпирической части сравниваются частоты выходов за прогнозные квантили и поведение хвостов в кризисах.</w:t>
      </w:r>
    </w:p>
    <w:p>
      <w:r>
        <w:rPr>
          <w:b/>
        </w:rPr>
        <w:t xml:space="preserve">Результат. </w:t>
      </w:r>
      <w:r>
        <w:t>Авторы получают менее чрезмерные хвостовые оценки и частоты превышения, более близкие к номинальным. Они отдельно признают проблему структурных сдвигов относительно предположения стационарности.</w:t>
      </w:r>
    </w:p>
    <w:p>
      <w:r>
        <w:rPr>
          <w:b/>
        </w:rPr>
        <w:t xml:space="preserve">Ограничения. </w:t>
      </w:r>
      <w:r>
        <w:t>В приложенной версии обнаружены внутренние несогласованности: в тексте указан период 1893–2016, в подписи рисунка фигурирует 1880–2020, а подпись таблицы содержит иной период; расположение частот в таблице не согласовано с предшествующим текстом. Поэтому конкретные проценты и даты нельзя заимствовать без проверки исправленной версии. Близкое безусловное покрытие само по себе не доказывает лучшую точность.</w:t>
      </w:r>
    </w:p>
    <w:p>
      <w:r>
        <w:rPr>
          <w:b/>
        </w:rPr>
        <w:t xml:space="preserve">Для диплома. </w:t>
      </w:r>
      <w:r>
        <w:t>Использую статью как предупреждение о хрупкости экстремальных хвостов. Новый оцениватель не включаю в обязательный дизайн: для бакалаврской работы важнее корректно проверить 10-й процентиль. Исправление перечисленных несогласованностей оставлено явной задачей библиографического аудита.</w:t>
      </w:r>
    </w:p>
    <w:p>
      <w:r>
        <w:rPr>
          <w:b/>
        </w:rPr>
        <w:t xml:space="preserve">Опора. </w:t>
      </w:r>
      <w:r>
        <w:t>papers/S16.pdf: PDF с. 1, 23, 25–29; не смешивать рабочую и журнальную версии.</w:t>
      </w:r>
    </w:p>
    <w:p>
      <w:pPr>
        <w:pStyle w:val="Heading2"/>
      </w:pPr>
      <w:r>
        <w:t>S17 Разбор доступной полной версии</w:t>
      </w:r>
    </w:p>
    <w:p>
      <w:pPr>
        <w:keepNext/>
      </w:pPr>
      <w:r>
        <w:rPr>
          <w:b/>
        </w:rPr>
        <w:t>Mitchell, James; Poon, Aubrey; Zhu, Dan. Constructing Density Forecasts From Quantile Regressions: Multimodality in Macrofinancial Dynamics. Journal of Applied Econometrics, 2024.</w:t>
      </w:r>
    </w:p>
    <w:p>
      <w:pPr>
        <w:keepNext/>
      </w:pPr>
      <w:r>
        <w:rPr>
          <w:sz w:val="20"/>
        </w:rPr>
        <w:t>https://doi.org/10.1002/jae.3049</w:t>
      </w:r>
    </w:p>
    <w:p>
      <w:r>
        <w:rPr>
          <w:b/>
        </w:rPr>
        <w:t xml:space="preserve">Вопрос и данные. </w:t>
      </w:r>
      <w:r>
        <w:t>Как восстановить прогнозную плотность из квантильных регрессий, не навязывая ей слишком жёсткую форму? Работа использует макрофинансовые данные США и классический набор для GaR.</w:t>
      </w:r>
    </w:p>
    <w:p>
      <w:r>
        <w:rPr>
          <w:b/>
        </w:rPr>
        <w:t xml:space="preserve">Модель и проверка. </w:t>
      </w:r>
      <w:r>
        <w:t>Предлагаются гибкие способы построения плотности из квантилей, допускающие несколько мод. Сопоставление включает подход QR со skew-t. Вневыборочный период для соответствующего примера — 1993Q1–2015Q4, с расширяющейся историей от 1973Q1.</w:t>
      </w:r>
    </w:p>
    <w:p>
      <w:r>
        <w:rPr>
          <w:b/>
        </w:rPr>
        <w:t xml:space="preserve">Результат. </w:t>
      </w:r>
      <w:r>
        <w:t>Гибкая плотность позволяет описывать особенности распределения, которые сглаживает параметрическая аппроксимация. При этом калибровка вне выборки остаётся самостоятельной проблемой; красивое соответствие внутри выборки не гарантирует достоверного хвоста.</w:t>
      </w:r>
    </w:p>
    <w:p>
      <w:r>
        <w:rPr>
          <w:b/>
        </w:rPr>
        <w:t xml:space="preserve">Ограничения. </w:t>
      </w:r>
      <w:r>
        <w:t>Мультимодальность плотности и точность одного нижнего квантиля — разные задачи. Часть различий возникает на этапе сглаживания уже оценённых квантилей. Предикторы сами по себе от этого не становятся более информативными.</w:t>
      </w:r>
    </w:p>
    <w:p>
      <w:r>
        <w:rPr>
          <w:b/>
        </w:rPr>
        <w:t xml:space="preserve">Для диплома. </w:t>
      </w:r>
      <w:r>
        <w:t>На основном этапе достаточно прямо оценивать и проверять 10-й процентиль. Плотность, вероятность рецессии и ожидаемый дефицит роста потребуют дополнительных обоснований. Не добавляю их исключительно ради сложности модели.</w:t>
      </w:r>
    </w:p>
    <w:p>
      <w:r>
        <w:rPr>
          <w:b/>
        </w:rPr>
        <w:t xml:space="preserve">Опора. </w:t>
      </w:r>
      <w:r>
        <w:t>papers/S17.pdf: PDF с. 19, 28, 31; Cleveland Fed WP 22-12, май 2022.</w:t>
      </w:r>
    </w:p>
    <w:p>
      <w:pPr>
        <w:pStyle w:val="Heading2"/>
      </w:pPr>
      <w:r>
        <w:t>S18 Разбор доступной полной версии</w:t>
      </w:r>
    </w:p>
    <w:p>
      <w:pPr>
        <w:keepNext/>
      </w:pPr>
      <w:r>
        <w:rPr>
          <w:b/>
        </w:rPr>
        <w:t>Dovern, Jonas; van Roye, Björn. International Transmission and Business-Cycle Effects of Financial Stress. Journal of Financial Stability, 2014.</w:t>
      </w:r>
    </w:p>
    <w:p>
      <w:pPr>
        <w:keepNext/>
      </w:pPr>
      <w:r>
        <w:rPr>
          <w:sz w:val="20"/>
        </w:rPr>
        <w:t>https://doi.org/10.1016/j.jfs.2014.02.006</w:t>
      </w:r>
    </w:p>
    <w:p>
      <w:r>
        <w:rPr>
          <w:b/>
        </w:rPr>
        <w:t xml:space="preserve">Вопрос и данные. </w:t>
      </w:r>
      <w:r>
        <w:t>Как финансовый стресс передаётся между странами и влияет на деловой цикл? Используются месячные данные 20 стран за 1970–2012 годы; национальные индексы стресса построены на финансовых показателях.</w:t>
      </w:r>
    </w:p>
    <w:p>
      <w:r>
        <w:rPr>
          <w:b/>
        </w:rPr>
        <w:t xml:space="preserve">Модель и проверка. </w:t>
      </w:r>
      <w:r>
        <w:t>Авторы объединяют страны в GVAR и анализируют динамические реакции финансового стресса и реальной активности. Международные веса и совместная динамика являются существенной частью модели. Это анализ передачи шоков, а не соревнование GaR-прогнозов.</w:t>
      </w:r>
    </w:p>
    <w:p>
      <w:r>
        <w:rPr>
          <w:b/>
        </w:rPr>
        <w:t xml:space="preserve">Результат. </w:t>
      </w:r>
      <w:r>
        <w:t>Стресс быстро распространяется между рынками, а реакция промышленного выпуска более растянута во времени. Международная открытость связана с различиями в передаче. Экономическое объяснение включает финансовые связи и усиление шоков.</w:t>
      </w:r>
    </w:p>
    <w:p>
      <w:r>
        <w:rPr>
          <w:b/>
        </w:rPr>
        <w:t xml:space="preserve">Ограничения. </w:t>
      </w:r>
      <w:r>
        <w:t>Импульсная реакция зависит от спецификации системы и идентификационных предпосылок. Нельзя из факта передачи стресса заключить, что NFCI улучшит прогноз еврозоны после включения её собственного CISS.</w:t>
      </w:r>
    </w:p>
    <w:p>
      <w:r>
        <w:rPr>
          <w:b/>
        </w:rPr>
        <w:t xml:space="preserve">Для диплома. </w:t>
      </w:r>
      <w:r>
        <w:t>Статья даёт теоретическое основание внешнему финансовому каналу. В эмпирической главе я проверяю более узкий вопрос о добавочной информации, поскольку международный сигнал может уже содержаться во внутреннем индексе и ESI.</w:t>
      </w:r>
    </w:p>
    <w:p>
      <w:r>
        <w:rPr>
          <w:b/>
        </w:rPr>
        <w:t xml:space="preserve">Опора. </w:t>
      </w:r>
      <w:r>
        <w:t>papers/S18.pdf: PDF с. 3, 32; Kiel Working Paper 1844, 2013, рабочая версия статьи 2014 года.</w:t>
      </w:r>
    </w:p>
    <w:p>
      <w:pPr>
        <w:pStyle w:val="Heading2"/>
      </w:pPr>
      <w:r>
        <w:t>S19 Предварительный разбор</w:t>
      </w:r>
    </w:p>
    <w:p>
      <w:pPr>
        <w:keepNext/>
      </w:pPr>
      <w:r>
        <w:rPr>
          <w:b/>
        </w:rPr>
        <w:t>Apostolakis, George; Giannellis, Nikolaos. International Financial Stress Spillovers During Times of Unconventional Monetary Policy Interventions. Journal of Financial Stability, 2024.</w:t>
      </w:r>
    </w:p>
    <w:p>
      <w:pPr>
        <w:keepNext/>
      </w:pPr>
      <w:r>
        <w:rPr>
          <w:sz w:val="20"/>
        </w:rPr>
        <w:t>https://doi.org/10.1016/j.jfs.2024.101259</w:t>
      </w:r>
    </w:p>
    <w:p>
      <w:r>
        <w:rPr>
          <w:b/>
        </w:rPr>
        <w:t xml:space="preserve">Вопрос и доступные сведения. </w:t>
      </w:r>
      <w:r>
        <w:t>Исследуются международные переливы финансового стресса при нетрадиционных мерах денежной политики. По доступному описанию издателя используется Bayesian GVAR и период февраль 2008 — май 2022 года.</w:t>
      </w:r>
    </w:p>
    <w:p>
      <w:r>
        <w:rPr>
          <w:b/>
        </w:rPr>
        <w:t xml:space="preserve">Что не установлено. </w:t>
      </w:r>
      <w:r>
        <w:t>Полный PDF не получен: ответ сервера оказался страницей, а не документом. Точный состав стран, идентификация шоков и количественные результаты не подтверждены. Поэтому сильные выводы о направлении или размере эффектов здесь не приводятся.</w:t>
      </w:r>
    </w:p>
    <w:p>
      <w:r>
        <w:rPr>
          <w:b/>
        </w:rPr>
        <w:t xml:space="preserve">Для диплома. </w:t>
      </w:r>
      <w:r>
        <w:t>Работа относится к объяснению международных каналов и зависимости передачи от режима политики. Она не служит доказательством прогнозной полезности выбранного индекса. До получения полного текста использую только проверенное описание задачи.</w:t>
      </w:r>
    </w:p>
    <w:p>
      <w:r>
        <w:rPr>
          <w:b/>
        </w:rPr>
        <w:t xml:space="preserve">Опора. </w:t>
      </w:r>
      <w:r>
        <w:t>https://doi.org/10.1016/j.jfs.2024.101259 ; https://www.sciencedirect.com/science/article/pii/S1572308924000445/pdf . Статус — предварительный разбор доступного описания.</w:t>
      </w:r>
    </w:p>
    <w:p>
      <w:pPr>
        <w:pStyle w:val="Heading2"/>
      </w:pPr>
      <w:r>
        <w:t>S20 Разбор доступной полной версии</w:t>
      </w:r>
    </w:p>
    <w:p>
      <w:pPr>
        <w:keepNext/>
      </w:pPr>
      <w:r>
        <w:rPr>
          <w:b/>
        </w:rPr>
        <w:t>Koenker, Roger W.; Bassett, Gilbert W.. Regression Quantiles. Econometrica, 1978.</w:t>
      </w:r>
    </w:p>
    <w:p>
      <w:pPr>
        <w:keepNext/>
      </w:pPr>
      <w:r>
        <w:rPr>
          <w:sz w:val="20"/>
        </w:rPr>
        <w:t>https://doi.org/10.2307/1913643</w:t>
      </w:r>
    </w:p>
    <w:p>
      <w:r>
        <w:rPr>
          <w:b/>
        </w:rPr>
        <w:t xml:space="preserve">Вопрос и характер работы. </w:t>
      </w:r>
      <w:r>
        <w:t>Как обобщить понятие выборочной квантили на регрессионную модель? Это теоретическая основа квантильной регрессии, а не эмпирическая работа о финансовых условиях. В архиве находится скан; определения дополнительно проверены распознаванием страниц.</w:t>
      </w:r>
    </w:p>
    <w:p>
      <w:r>
        <w:rPr>
          <w:b/>
        </w:rPr>
        <w:t xml:space="preserve">Модель и результат. </w:t>
      </w:r>
      <w:r>
        <w:t>Коэффициенты определяются минимизацией асимметрично взвешенных абсолютных отклонений. Медианная регрессия является частным случаем. В статье рассматриваются свойства оценок и их асимптотическое распределение. Модель позволяет отдельно изучать разные части условного распределения.</w:t>
      </w:r>
    </w:p>
    <w:p>
      <w:r>
        <w:rPr>
          <w:b/>
        </w:rPr>
        <w:t xml:space="preserve">Ограничения. </w:t>
      </w:r>
      <w:r>
        <w:t>Устойчивость к ненормальности ошибок не означает полной нечувствительности к выбросам, особенно в предикторах. Исходные предпосылки не дают готового статистического вывода для перекрывающихся макроэкономических горизонтов и зависимых во времени наблюдений.</w:t>
      </w:r>
    </w:p>
    <w:p>
      <w:r>
        <w:rPr>
          <w:b/>
        </w:rPr>
        <w:t xml:space="preserve">Для диплома. </w:t>
      </w:r>
      <w:r>
        <w:t>На этой работе основываю объяснение QR и функции потерь. 10-й процентиль — условная граница с заданной вероятностью, а не средний рост в худших 10% случаев. Обычные стандартные ошибки без поправок для временной зависимости использовать нельзя.</w:t>
      </w:r>
    </w:p>
    <w:p>
      <w:r>
        <w:rPr>
          <w:b/>
        </w:rPr>
        <w:t xml:space="preserve">Опора. </w:t>
      </w:r>
      <w:r>
        <w:t>papers/S20.pdf: PDF с. 2–8, в особенности определение на PDF с. 7, журнальная с. 38. Распознавание служит навигации, формулы проверяются по скану.</w:t>
      </w:r>
    </w:p>
    <w:p>
      <w:pPr>
        <w:pStyle w:val="Heading2"/>
      </w:pPr>
      <w:r>
        <w:t>S21 Разбор доступной полной версии</w:t>
      </w:r>
    </w:p>
    <w:p>
      <w:pPr>
        <w:keepNext/>
      </w:pPr>
      <w:r>
        <w:rPr>
          <w:b/>
        </w:rPr>
        <w:t>Gneiting, Tilmann; Raftery, Adrian E.. Strictly Proper Scoring Rules, Prediction, and Estimation. Journal of the American Statistical Association, 2007.</w:t>
      </w:r>
    </w:p>
    <w:p>
      <w:pPr>
        <w:keepNext/>
      </w:pPr>
      <w:r>
        <w:rPr>
          <w:sz w:val="20"/>
        </w:rPr>
        <w:t>https://doi.org/10.1198/016214506000001437</w:t>
      </w:r>
    </w:p>
    <w:p>
      <w:r>
        <w:rPr>
          <w:b/>
        </w:rPr>
        <w:t xml:space="preserve">Вопрос и характер работы. </w:t>
      </w:r>
      <w:r>
        <w:t>Как оценивать вероятностные прогнозы так, чтобы критерий поощрял честное описание неопределённости? Это общая методическая статья о правильных функциях оценки, с иллюстрациями вне макроэкономики.</w:t>
      </w:r>
    </w:p>
    <w:p>
      <w:r>
        <w:rPr>
          <w:b/>
        </w:rPr>
        <w:t xml:space="preserve">Модель и результат. </w:t>
      </w:r>
      <w:r>
        <w:t>Рассматриваются функции оценки распределений, квантилей и интервалов. В разделе 6 показана роль асимметричной функции потерь для заданной квантили. Для распределений обсуждаются log score и CRPS; критерии имеют различную чувствительность к экстремальным событиям.</w:t>
      </w:r>
    </w:p>
    <w:p>
      <w:r>
        <w:rPr>
          <w:b/>
        </w:rPr>
        <w:t xml:space="preserve">Ограничения. </w:t>
      </w:r>
      <w:r>
        <w:t>Правильная функция потерь определяет осмысленную цель сравнения, но не гарантирует хорошей оценки этой цели на короткой выборке. Средняя потеря требует анализа неопределённости разности между моделями. Процент попаданий без оценки точности недостаточен.</w:t>
      </w:r>
    </w:p>
    <w:p>
      <w:r>
        <w:rPr>
          <w:b/>
        </w:rPr>
        <w:t xml:space="preserve">Для диплома. </w:t>
      </w:r>
      <w:r>
        <w:t>Главный критерий — средняя pinball loss для 10-го процентиля на общей тестовой выборке. Меньшее значение лучше. Покрытие показывается отдельно; нельзя выбирать модель только за то, что она даёт достаточно низкий прогноз и редко нарушается.</w:t>
      </w:r>
    </w:p>
    <w:p>
      <w:r>
        <w:rPr>
          <w:b/>
        </w:rPr>
        <w:t xml:space="preserve">Опора. </w:t>
      </w:r>
      <w:r>
        <w:t>papers/S21.pdf: PDF с. 12, раздел 6 и формула 41; с. 15–16, сравнение свойств оценок.</w:t>
      </w:r>
    </w:p>
    <w:p>
      <w:pPr>
        <w:pStyle w:val="Heading2"/>
      </w:pPr>
      <w:r>
        <w:t>S22 Предварительный разбор</w:t>
      </w:r>
    </w:p>
    <w:p>
      <w:pPr>
        <w:keepNext/>
      </w:pPr>
      <w:r>
        <w:rPr>
          <w:b/>
        </w:rPr>
        <w:t>Gneiting, Tilmann; Ranjan, Roopesh. Comparing Density Forecasts Using Threshold- And Quantile-Weighted Scoring Rules. Journal of Business and Economic Statistics, 2011.</w:t>
      </w:r>
    </w:p>
    <w:p>
      <w:pPr>
        <w:keepNext/>
      </w:pPr>
      <w:r>
        <w:rPr>
          <w:sz w:val="20"/>
        </w:rPr>
        <w:t>https://doi.org/10.1198/jbes.2010.08110</w:t>
      </w:r>
    </w:p>
    <w:p>
      <w:r>
        <w:rPr>
          <w:b/>
        </w:rPr>
        <w:t xml:space="preserve">Вопрос и доступные сведения. </w:t>
      </w:r>
      <w:r>
        <w:t>Как сравнивать прогнозные распределения, уделяя повышенное внимание определённой области? В описании авторов предложены пороговые и квантильно-взвешенные версии CRPS.</w:t>
      </w:r>
    </w:p>
    <w:p>
      <w:r>
        <w:rPr>
          <w:b/>
        </w:rPr>
        <w:t xml:space="preserve">Что не установлено. </w:t>
      </w:r>
      <w:r>
        <w:t>Полный текст не получен; университетский адрес вернул ошибку, альтернативный PDF отсутствует. Конкретные формулы весов и реализацию статистических тестов не считаю проверенными по полному тексту.</w:t>
      </w:r>
    </w:p>
    <w:p>
      <w:r>
        <w:rPr>
          <w:b/>
        </w:rPr>
        <w:t xml:space="preserve">Для диплома. </w:t>
      </w:r>
      <w:r>
        <w:t>Источник нужен, если дополнительно сравнивать всю нижнюю область распределения. Для одного 10-го процентиля достаточно напрямую обоснованной pinball loss из S20–S21. Веса нельзя выбирать после просмотра того, где наша модель выигрывает.</w:t>
      </w:r>
    </w:p>
    <w:p>
      <w:r>
        <w:rPr>
          <w:b/>
        </w:rPr>
        <w:t xml:space="preserve">Опора. </w:t>
      </w:r>
      <w:r>
        <w:t>https://doi.org/10.1198/jbes.2010.08110 ; университетское описание Comparing Density Forecasts Using Threshold and Quantile Weighted Scoring Rules. Статус — предварительный разбор.</w:t>
      </w:r>
    </w:p>
    <w:p>
      <w:pPr>
        <w:pStyle w:val="Heading2"/>
      </w:pPr>
      <w:r>
        <w:t>S23 Разбор доступной полной версии</w:t>
      </w:r>
    </w:p>
    <w:p>
      <w:pPr>
        <w:keepNext/>
      </w:pPr>
      <w:r>
        <w:rPr>
          <w:b/>
        </w:rPr>
        <w:t>Holló, Dániel; Kremer, Manfred; Lo Duca, Marco. CISS - A Composite Indicator of Systemic Stress in the Financial System. ECB Working Paper 1426, 2012.</w:t>
      </w:r>
    </w:p>
    <w:p>
      <w:pPr>
        <w:keepNext/>
      </w:pPr>
      <w:r>
        <w:rPr>
          <w:sz w:val="20"/>
        </w:rPr>
        <w:t>https://doi.org/10.2139/ssrn.1611717</w:t>
      </w:r>
    </w:p>
    <w:p>
      <w:r>
        <w:rPr>
          <w:b/>
        </w:rPr>
        <w:t xml:space="preserve">Вопрос и данные. </w:t>
      </w:r>
      <w:r>
        <w:t>Как измерять системность финансового стресса, а не просто средний уровень отдельных рыночных напряжений? Исходный CISS объединяет 15 показателей пяти сегментов финансового рынка еврозоны.</w:t>
      </w:r>
    </w:p>
    <w:p>
      <w:r>
        <w:rPr>
          <w:b/>
        </w:rPr>
        <w:t xml:space="preserve">Модель и проверка. </w:t>
      </w:r>
      <w:r>
        <w:t>Показатели переводятся в сопоставимую шкалу; агрегирование учитывает меняющиеся межсегментные корреляции по логике риска портфеля. Работа содержит анализ стрессовых состояний и нелинейной связи с активностью. Для одной из режимных оценок использованы месячные средние недельного индекса за январь 1987 — июнь 2011 года.</w:t>
      </w:r>
    </w:p>
    <w:p>
      <w:r>
        <w:rPr>
          <w:b/>
        </w:rPr>
        <w:t xml:space="preserve">Результат. </w:t>
      </w:r>
      <w:r>
        <w:t>Одновременное напряжение нескольких сегментов получает больший системный вес. Индекс предназначен для выявления финансовых эпизодов, потенциально опасных для реальной экономики; его конструкция экономически отличается от широкого FCI.</w:t>
      </w:r>
    </w:p>
    <w:p>
      <w:r>
        <w:rPr>
          <w:b/>
        </w:rPr>
        <w:t xml:space="preserve">Ограничения. </w:t>
      </w:r>
      <w:r>
        <w:t>Высокий CISS — измерение состояния рынка, а не экзогенный шок. Исходная методика и более поздняя дневная версия имеют различия. Проверка исторических кризисов не заменяет оценку добавочного прогноза будущего роста.</w:t>
      </w:r>
    </w:p>
    <w:p>
      <w:r>
        <w:rPr>
          <w:b/>
        </w:rPr>
        <w:t xml:space="preserve">Для диплома. </w:t>
      </w:r>
      <w:r>
        <w:t>В теории чётко разделяю системный стресс и финансовые условия. Сравнение CISS с NFCI получает экономический смысл: измерители отражают разные аспекты финансовой среды. В данных указываю именно использованную версию.</w:t>
      </w:r>
    </w:p>
    <w:p>
      <w:r>
        <w:rPr>
          <w:b/>
        </w:rPr>
        <w:t xml:space="preserve">Опора. </w:t>
      </w:r>
      <w:r>
        <w:t>papers/S23.pdf: PDF с. 3, 17, 35; ECB WP 1426, 2012.</w:t>
      </w:r>
    </w:p>
    <w:p>
      <w:pPr>
        <w:pStyle w:val="Heading2"/>
      </w:pPr>
      <w:r>
        <w:t>S24 Разбор доступной полной версии</w:t>
      </w:r>
    </w:p>
    <w:p>
      <w:pPr>
        <w:keepNext/>
      </w:pPr>
      <w:r>
        <w:rPr>
          <w:b/>
        </w:rPr>
        <w:t>Expert Group on Macro-at-Risk, Time-Series Workstream; editors Chahad, M.; Mogliani, M.. Macro-at-Risk in the euro area. ECB Occasional Paper 396, 2026.</w:t>
      </w:r>
    </w:p>
    <w:p>
      <w:pPr>
        <w:keepNext/>
      </w:pPr>
      <w:r>
        <w:rPr>
          <w:sz w:val="20"/>
        </w:rPr>
        <w:t>https://www.ecb.europa.eu/pub/pdf/scpops/ecb.op396.en.pdf</w:t>
      </w:r>
    </w:p>
    <w:p>
      <w:r>
        <w:rPr>
          <w:b/>
        </w:rPr>
        <w:t xml:space="preserve">Вопрос и данные. </w:t>
      </w:r>
      <w:r>
        <w:t>Как организовать широкий анализ хвостовых макроэкономических рисков еврозоны? Собрана база примерно 350 переменных; фактический эмпирический анализ использует предварительно отобранное подмножество 135. Для 97 переменных имеются винтажи и прогнозы Eurosystem, начиная с 1998Q4.</w:t>
      </w:r>
    </w:p>
    <w:p>
      <w:r>
        <w:rPr>
          <w:b/>
        </w:rPr>
        <w:t xml:space="preserve">Модель и проверка. </w:t>
      </w:r>
      <w:r>
        <w:t>Рассматриваются квантильные модели и сочетание нескольких групп информации. Последний описанный винтаж — декабрь 2022 года, с прогнозами до 2025Q4. Это прогнозные значения, а не фактические наблюдения ВВП до 2025 года.</w:t>
      </w:r>
    </w:p>
    <w:p>
      <w:r>
        <w:rPr>
          <w:b/>
        </w:rPr>
        <w:t xml:space="preserve">Результат. </w:t>
      </w:r>
      <w:r>
        <w:t>Полезность факторов зависит от горизонта, времени и целевой переменной. Разные группы данных дополняют друг друга. В отдельном блоке показано сильное влияние пандемийных наблюдений на QR; в применённом авторами подходе 2020Q1–Q3 исключены из оценивания роста.</w:t>
      </w:r>
    </w:p>
    <w:p>
      <w:r>
        <w:rPr>
          <w:b/>
        </w:rPr>
        <w:t xml:space="preserve">Ограничения. </w:t>
      </w:r>
      <w:r>
        <w:t>Часть базы и винтажей связана с внутренними прогнозными процедурами Eurosystem; публичность статьи не означает открытость всего набора. Исключение кварталов — конкретный исследовательский выбор, не универсальное правило.</w:t>
      </w:r>
    </w:p>
    <w:p>
      <w:r>
        <w:rPr>
          <w:b/>
        </w:rPr>
        <w:t xml:space="preserve">Для диплома. </w:t>
      </w:r>
      <w:r>
        <w:t>Эта работа подтверждает необходимость макроэкономического контроля и прозрачного обращения с выбросами. Не обещаю воспроизвести недоступную широкую базу. Бакалаврский вклад может заключаться в компактной воспроизводимой проверке на открытых данных.</w:t>
      </w:r>
    </w:p>
    <w:p>
      <w:r>
        <w:rPr>
          <w:b/>
        </w:rPr>
        <w:t xml:space="preserve">Опора. </w:t>
      </w:r>
      <w:r>
        <w:t>papers/S24.pdf: PDF с. 11–12, 18, 44; ECB Occasional Paper 396. Даты выпуска и эмпирического винтажа различаются.</w:t>
      </w:r>
    </w:p>
    <w:p>
      <w:pPr>
        <w:pStyle w:val="Heading2"/>
      </w:pPr>
      <w:r>
        <w:t>S25 Разбор доступной полной версии</w:t>
      </w:r>
    </w:p>
    <w:p>
      <w:pPr>
        <w:keepNext/>
      </w:pPr>
      <w:r>
        <w:rPr>
          <w:b/>
        </w:rPr>
        <w:t>Szendrei, Tibor; Varga, Katalin. Revisiting vulnerable growth in the Euro Area: Identifying the role of financial conditions in the distribution. Economics Letters, 2023.</w:t>
      </w:r>
    </w:p>
    <w:p>
      <w:pPr>
        <w:keepNext/>
      </w:pPr>
      <w:r>
        <w:rPr>
          <w:sz w:val="20"/>
        </w:rPr>
        <w:t>https://doi.org/10.1016/j.econlet.2023.110990</w:t>
      </w:r>
    </w:p>
    <w:p>
      <w:r>
        <w:rPr>
          <w:b/>
        </w:rPr>
        <w:t xml:space="preserve">Вопрос и данные. </w:t>
      </w:r>
      <w:r>
        <w:t>Остаётся ли CISS предпочтительным, если выбирать несколько отдельных финансовых показателей одновременно? Работа возвращается к данным еврозоны и включает спреды и кредитные переменные, рассматривая горизонты один и четыре квартала.</w:t>
      </w:r>
    </w:p>
    <w:p>
      <w:r>
        <w:rPr>
          <w:b/>
        </w:rPr>
        <w:t xml:space="preserve">Модель и проверка. </w:t>
      </w:r>
      <w:r>
        <w:t>Квантильные регрессии оцениваются с регуляризацией и ограничением непересечения квантилей; выбор сложности основан на информационных критериях. Вневыборочная схема расширяет начальную выборку из 50 наблюдений по одному кварталу.</w:t>
      </w:r>
    </w:p>
    <w:p>
      <w:r>
        <w:rPr>
          <w:b/>
        </w:rPr>
        <w:t xml:space="preserve">Результат. </w:t>
      </w:r>
      <w:r>
        <w:t>В выбранных спецификациях CISS не включается, тогда как набор отдельных показателей полезен. Но вневыборочные результаты не однозначны: на годовом горизонте показатели нижнего хвоста не демонстрируют превосходство оптимальной модели над CISS. Авторы предупреждают, что для горизонта один квартал доступно только 16 вневыборочных прогнозов.</w:t>
      </w:r>
    </w:p>
    <w:p>
      <w:r>
        <w:rPr>
          <w:b/>
        </w:rPr>
        <w:t xml:space="preserve">Ограничения. </w:t>
      </w:r>
      <w:r>
        <w:t>Выбор переменных по подгонке не доказывает превосходство в прогнозе. Короткая тестовая история особенно чувствительна к отдельным кварталам. Отсутствие CISS в выбранном наборе не означает отсутствия информации в самом индексе.</w:t>
      </w:r>
    </w:p>
    <w:p>
      <w:r>
        <w:rPr>
          <w:b/>
        </w:rPr>
        <w:t xml:space="preserve">Для диплома. </w:t>
      </w:r>
      <w:r>
        <w:t>Беру осторожное отношение к словам «лучший индикатор». Наш короткий современный подпериод имеет сходную проблему мощности. Регуляризацию множества компонентов оставляю за рамками главного сравнения двух агрегированных индексов США.</w:t>
      </w:r>
    </w:p>
    <w:p>
      <w:r>
        <w:rPr>
          <w:b/>
        </w:rPr>
        <w:t xml:space="preserve">Опора. </w:t>
      </w:r>
      <w:r>
        <w:t>papers/S25.pdf: PDF с. 3–6, таблица 4 и предупреждение о 16 прогнозах.</w:t>
      </w:r>
    </w:p>
    <w:p>
      <w:pPr>
        <w:pStyle w:val="Heading2"/>
      </w:pPr>
      <w:r>
        <w:t>S26 Разбор доступной полной версии</w:t>
      </w:r>
    </w:p>
    <w:p>
      <w:pPr>
        <w:keepNext/>
      </w:pPr>
      <w:r>
        <w:rPr>
          <w:b/>
        </w:rPr>
        <w:t>Plaasch, Jannick; Röthig, Andreas. A Growth-at-Risk model for the German economy. Deutsche Bundesbank Technical Paper 05/2025, 2025.</w:t>
      </w:r>
    </w:p>
    <w:p>
      <w:pPr>
        <w:keepNext/>
      </w:pPr>
      <w:r>
        <w:rPr>
          <w:sz w:val="20"/>
        </w:rPr>
        <w:t>https://www.econstor.eu/bitstream/10419/333425/1/1943279594.pdf</w:t>
      </w:r>
    </w:p>
    <w:p>
      <w:r>
        <w:rPr>
          <w:b/>
        </w:rPr>
        <w:t xml:space="preserve">Вопрос и данные. </w:t>
      </w:r>
      <w:r>
        <w:t>Как выбрать практически применимую GaR-модель Германии? Это ближайший аналог нашей идеи. Используются внутренний стресс CLIFS, американский NFCI, деловые ожидания BCI и рост ВВП. Начало общего набора — 2003Q1; оценочное сравнение заканчивается 2023Q2, поздние иллюстрации обновлены до 2025 года.</w:t>
      </w:r>
    </w:p>
    <w:p>
      <w:r>
        <w:rPr>
          <w:b/>
        </w:rPr>
        <w:t xml:space="preserve">Модель и проверка. </w:t>
      </w:r>
      <w:r>
        <w:t>После десяти лет начальной истории модели переоцениваются по квартальным BMPE-винтажам с 2013Q1. Рассмотрены 200 спецификаций, квантильная потеря и CRPS. Отдельная проверка Великой рецессии является внутривыборочной. Из временных рядов исключены 2020Q1–2021Q2.</w:t>
      </w:r>
    </w:p>
    <w:p>
      <w:r>
        <w:rPr>
          <w:b/>
        </w:rPr>
        <w:t xml:space="preserve">Результат. </w:t>
      </w:r>
      <w:r>
        <w:t>Предпочтительная модель включает два лага роста, BCI, CLIFS и NFCI. Авторы делают акцент на 10-м процентиле, поскольку оценки 5-го менее стабильны. Следовательно, сочетание американских финансовых условий с внутренним стрессом и ожиданиями уже существует.</w:t>
      </w:r>
    </w:p>
    <w:p>
      <w:r>
        <w:rPr>
          <w:b/>
        </w:rPr>
        <w:t xml:space="preserve">Ограничения. </w:t>
      </w:r>
      <w:r>
        <w:t>Выбор из 200 вариантов создаёт риск оптимизма при оценке победителя. Использование винтажей усиливает дизайн, но исключение пандемии меняет область применимости вывода. Результаты Германии не тождественны результатам еврозоны.</w:t>
      </w:r>
    </w:p>
    <w:p>
      <w:r>
        <w:rPr>
          <w:b/>
        </w:rPr>
        <w:t xml:space="preserve">Для диплома. </w:t>
      </w:r>
      <w:r>
        <w:t>Открыто использую работу как аналог. Наш посильный вклад — агрегат еврозоны, единое сравнение NFCI и US CISS, одинаковые простые эталоны и прозрачная проверка зависимости выигрыша от отдельных наблюдений. Для бакалаврского диплома это содержательное расширение известной рамки.</w:t>
      </w:r>
    </w:p>
    <w:p>
      <w:r>
        <w:rPr>
          <w:b/>
        </w:rPr>
        <w:t xml:space="preserve">Опора. </w:t>
      </w:r>
      <w:r>
        <w:t>papers/S26.pdf: PDF с. 9–13, 17; Bundesbank Technical Paper 05/2025.</w:t>
      </w:r>
    </w:p>
    <w:p>
      <w:pPr>
        <w:pStyle w:val="Heading2"/>
      </w:pPr>
      <w:r>
        <w:t>S27 Разбор доступной полной версии</w:t>
      </w:r>
    </w:p>
    <w:p>
      <w:pPr>
        <w:keepNext/>
      </w:pPr>
      <w:r>
        <w:rPr>
          <w:b/>
        </w:rPr>
        <w:t>Amburgey, Aaron J.; McCracken, Michael W.. On the real-time predictive content of financial condition indices for growth. Journal of Applied Econometrics, 2023.</w:t>
      </w:r>
    </w:p>
    <w:p>
      <w:pPr>
        <w:keepNext/>
      </w:pPr>
      <w:r>
        <w:rPr>
          <w:sz w:val="20"/>
        </w:rPr>
        <w:t>https://doi.org/10.1002/jae.2943</w:t>
      </w:r>
    </w:p>
    <w:p>
      <w:r>
        <w:rPr>
          <w:b/>
        </w:rPr>
        <w:t xml:space="preserve">Вопрос и данные. </w:t>
      </w:r>
      <w:r>
        <w:t>Сохраняется ли прогнозная информация NFCI, если использовать данные, реально доступные в момент прогноза? Авторы реконструируют ранние винтажи NFCI с 1988 года и соединяют их с официальными последующими выпусками.</w:t>
      </w:r>
    </w:p>
    <w:p>
      <w:r>
        <w:rPr>
          <w:b/>
        </w:rPr>
        <w:t xml:space="preserve">Модель и проверка. </w:t>
      </w:r>
      <w:r>
        <w:t>Сопоставляются вложенные квантильные модели, а теория тестирования учитывает пересмотры данных. Для квартальных прогнозов используются разные конечные даты в зависимости от горизонта; основной тестовый период завершается до пандемии. Отдельно исследуется предкризисная информативность.</w:t>
      </w:r>
    </w:p>
    <w:p>
      <w:r>
        <w:rPr>
          <w:b/>
        </w:rPr>
        <w:t xml:space="preserve">Результат. </w:t>
      </w:r>
      <w:r>
        <w:t>Учёт винтажей не отменяет основной результат о полезности NFCI для нижнего хвоста роста США. Перед рецессиями реальные винтажи могут оказаться информативнее окончательно пересмотренного индекса. Отдельный кризисный эпизод существенно влияет на сравнение с авторегрессией.</w:t>
      </w:r>
    </w:p>
    <w:p>
      <w:r>
        <w:rPr>
          <w:b/>
        </w:rPr>
        <w:t xml:space="preserve">Ограничения. </w:t>
      </w:r>
      <w:r>
        <w:t>Высокая корреляция винтажей с окончательным рядом не гарантирует одинаковые прогнозные результаты. Работа относится к США и не доказывает добавочный выигрыш после ESI для еврозоны. Теория тестов сложнее обычного сравнения средних потерь.</w:t>
      </w:r>
    </w:p>
    <w:p>
      <w:r>
        <w:rPr>
          <w:b/>
        </w:rPr>
        <w:t xml:space="preserve">Для диплома. </w:t>
      </w:r>
      <w:r>
        <w:t>Это обязательный источник для разграничения настоящего real-time и псевдовневыборочного анализа на последних винтажах. Пока соответствующие архивы не собраны, нельзя называть наши расчёты полностью реальным прогнозом в прошлом. Отдельно нужна диагностика влияния кризисных дат.</w:t>
      </w:r>
    </w:p>
    <w:p>
      <w:r>
        <w:rPr>
          <w:b/>
        </w:rPr>
        <w:t xml:space="preserve">Опора. </w:t>
      </w:r>
      <w:r>
        <w:t>papers/S27.pdf: PDF с. 7–11, 24–28; St Louis Fed WP 2022-003B, июнь 2022.</w:t>
      </w:r>
    </w:p>
    <w:p>
      <w:pPr>
        <w:pStyle w:val="Heading2"/>
      </w:pPr>
      <w:r>
        <w:t>S28 Разбор доступной полной версии</w:t>
      </w:r>
    </w:p>
    <w:p>
      <w:pPr>
        <w:keepNext/>
      </w:pPr>
      <w:r>
        <w:rPr>
          <w:b/>
        </w:rPr>
        <w:t>Arrigoni, Simone; Bobasu, Alina; Venditti, Fabrizio. Measuring Financial Conditions using Equal Weights Combination. IMF Economic Review, 2022.</w:t>
      </w:r>
    </w:p>
    <w:p>
      <w:pPr>
        <w:keepNext/>
      </w:pPr>
      <w:r>
        <w:rPr>
          <w:sz w:val="20"/>
        </w:rPr>
        <w:t>https://doi.org/10.1057/s41308-022-00170-y</w:t>
      </w:r>
    </w:p>
    <w:p>
      <w:r>
        <w:rPr>
          <w:b/>
        </w:rPr>
        <w:t xml:space="preserve">Вопрос и данные. </w:t>
      </w:r>
      <w:r>
        <w:t>Действительно ли сложное агрегирование финансовых показателей лучше простого? Рассматриваются 18 развитых и развивающихся экономик, месячные финансовые показатели и несколько задач макрофинансового анализа.</w:t>
      </w:r>
    </w:p>
    <w:p>
      <w:r>
        <w:rPr>
          <w:b/>
        </w:rPr>
        <w:t xml:space="preserve">Модель и проверка. </w:t>
      </w:r>
      <w:r>
        <w:t>Простые равновзвешенные индексы сравниваются с факторными подходами, в том числе с меняющимися параметрами. Разделы о банковских кризисах, рисках роста и денежной политике используют разные частоты и периоды; их нельзя сводить к одной прогнозной таблице.</w:t>
      </w:r>
    </w:p>
    <w:p>
      <w:r>
        <w:rPr>
          <w:b/>
        </w:rPr>
        <w:t xml:space="preserve">Результат. </w:t>
      </w:r>
      <w:r>
        <w:t>Простая конструкция может оказаться конкурентоспособной. При этом финансовый стресс и широкие условия финансирования полезны для разных задач. Более сложный статистический метод не гарантирует лучшего экономического сигнала.</w:t>
      </w:r>
    </w:p>
    <w:p>
      <w:r>
        <w:rPr>
          <w:b/>
        </w:rPr>
        <w:t xml:space="preserve">Ограничения. </w:t>
      </w:r>
      <w:r>
        <w:t>Сравнение способов построения индекса не отвечает напрямую на вопрос о добавочной информации США для еврозоны. В архиве рабочая версия ECB WP 2451 с названием The simpler the better, а журнальная запись имеет другое название.</w:t>
      </w:r>
    </w:p>
    <w:p>
      <w:r>
        <w:rPr>
          <w:b/>
        </w:rPr>
        <w:t xml:space="preserve">Для диплома. </w:t>
      </w:r>
      <w:r>
        <w:t>Не требуется строить собственный сложный индекс ради оригинальности. Содержательнее сравнить два известных показателя при одинаковых правилах прогноза. Источник помогает объяснить различия NFCI и CISS и защитить компактность модели.</w:t>
      </w:r>
    </w:p>
    <w:p>
      <w:r>
        <w:rPr>
          <w:b/>
        </w:rPr>
        <w:t xml:space="preserve">Опора. </w:t>
      </w:r>
      <w:r>
        <w:t>papers/S28.pdf: PDF с. 2, 10, 21–22, 28; версия ECB WP 2451, август 2020.</w:t>
      </w:r>
    </w:p>
    <w:p>
      <w:pPr>
        <w:pStyle w:val="Heading2"/>
      </w:pPr>
      <w:r>
        <w:t>S29 Разбор доступной полной версии</w:t>
      </w:r>
    </w:p>
    <w:p>
      <w:pPr>
        <w:keepNext/>
      </w:pPr>
      <w:r>
        <w:rPr>
          <w:b/>
        </w:rPr>
        <w:t>Adams, Patrick A.; Adrian, Tobias; Boyarchenko, Nina; Giannone, Domenico. Forecasting Macroeconomic Risks. International Journal of Forecasting, 2021.</w:t>
      </w:r>
    </w:p>
    <w:p>
      <w:pPr>
        <w:keepNext/>
      </w:pPr>
      <w:r>
        <w:rPr>
          <w:sz w:val="20"/>
        </w:rPr>
        <w:t>https://doi.org/10.1016/j.ijforecast.2021.01.003</w:t>
      </w:r>
    </w:p>
    <w:p>
      <w:r>
        <w:rPr>
          <w:b/>
        </w:rPr>
        <w:t xml:space="preserve">Вопрос и данные. </w:t>
      </w:r>
      <w:r>
        <w:t>Можно ли улучшить оценку макроэкономических рисков, добавив финансовые условия к профессиональному прогнозу? Используются данные США, Survey of Professional Forecasters и NFCI; описанная история охватывает 1971Q1–2018Q4.</w:t>
      </w:r>
    </w:p>
    <w:p>
      <w:r>
        <w:rPr>
          <w:b/>
        </w:rPr>
        <w:t xml:space="preserve">Модель и проверка. </w:t>
      </w:r>
      <w:r>
        <w:t>Квантильные модели строятся для ошибок базового прогнозирования с последующим восстановлением плотности. Согласуется календарь опроса и доступных недельных наблюдений NFCI. Вневыборочная проверка начинается в 1992Q1; изучаются квартальный и годовой горизонты.</w:t>
      </w:r>
    </w:p>
    <w:p>
      <w:r>
        <w:rPr>
          <w:b/>
        </w:rPr>
        <w:t xml:space="preserve">Результат. </w:t>
      </w:r>
      <w:r>
        <w:t>Финансовая информация способна улучшать описание рисков ВВП и безработицы, а результаты по инфляции скромнее. Это пример проверки добавочной полезности к сильному информационному ориентиру.</w:t>
      </w:r>
    </w:p>
    <w:p>
      <w:r>
        <w:rPr>
          <w:b/>
        </w:rPr>
        <w:t xml:space="preserve">Ограничения. </w:t>
      </w:r>
      <w:r>
        <w:t>Профессиональный прогноз содержит другой объём информации, чем один ESI. Нельзя считать их взаимозаменяемыми. Улучшение плотности не обязательно означает одинаковый выигрыш каждого квантиля и горизонта.</w:t>
      </w:r>
    </w:p>
    <w:p>
      <w:r>
        <w:rPr>
          <w:b/>
        </w:rPr>
        <w:t xml:space="preserve">Для диплома. </w:t>
      </w:r>
      <w:r>
        <w:t>Статья усиливает аргумент в пользу содержательного базового прогноза и точного календаря публикаций. SPF можно обсуждать как дальнейшее расширение, но его добавление сейчас создаст отдельную задачу сопоставления сроков и горизонтов.</w:t>
      </w:r>
    </w:p>
    <w:p>
      <w:r>
        <w:rPr>
          <w:b/>
        </w:rPr>
        <w:t xml:space="preserve">Опора. </w:t>
      </w:r>
      <w:r>
        <w:t>papers/S29.pdf: PDF с. 8, 20, 31; NY Fed Staff Report 914, февраль 2020.</w:t>
      </w:r>
    </w:p>
    <w:p>
      <w:pPr>
        <w:pStyle w:val="Heading2"/>
      </w:pPr>
      <w:r>
        <w:t>S30 Разбор доступной полной версии</w:t>
      </w:r>
    </w:p>
    <w:p>
      <w:pPr>
        <w:keepNext/>
      </w:pPr>
      <w:r>
        <w:rPr>
          <w:b/>
        </w:rPr>
        <w:t>Brandt, Lennart; Saint Guilhem, Arthur; Schröder, Maximilian; Van Robays, Ine. What drives euro area financial markets? The role of US spillovers and global risk. ECB Working Paper 2560, revised March 2026, 2026.</w:t>
      </w:r>
    </w:p>
    <w:p>
      <w:pPr>
        <w:keepNext/>
      </w:pPr>
      <w:r>
        <w:rPr>
          <w:sz w:val="20"/>
        </w:rPr>
        <w:t>https://www.ecb.europa.eu/pub/pdf/scpwps/ecb.wp2560~f98f3c7d78.en.pdf</w:t>
      </w:r>
    </w:p>
    <w:p>
      <w:r>
        <w:rPr>
          <w:b/>
        </w:rPr>
        <w:t xml:space="preserve">Вопрос и данные. </w:t>
      </w:r>
      <w:r>
        <w:t>Какие внутренние, американские и глобальные факторы двигают финансовые рынки еврозоны? Используются дневные ставки, фондовые индексы США и еврозоны, валютный курс и трансатлантическая разница доходностей.</w:t>
      </w:r>
    </w:p>
    <w:p>
      <w:r>
        <w:rPr>
          <w:b/>
        </w:rPr>
        <w:t xml:space="preserve">Модель и проверка. </w:t>
      </w:r>
      <w:r>
        <w:t>Байесовская VAR со знаковыми ограничениями разлагает изменения рынков на несколько типов шоков. Работа учитывает особую роль американских безопасных активов и глобального отношения к риску. В архиве находится обновлённая в марте 2026 года версия ECB WP 2560.</w:t>
      </w:r>
    </w:p>
    <w:p>
      <w:r>
        <w:rPr>
          <w:b/>
        </w:rPr>
        <w:t xml:space="preserve">Результат. </w:t>
      </w:r>
      <w:r>
        <w:t>Американские и глобальные факторы объясняют существенную часть колебаний финансовых активов еврозоны. Одинаковое изменение доходности может иметь разные макроэкономические последствия в зависимости от его источника.</w:t>
      </w:r>
    </w:p>
    <w:p>
      <w:r>
        <w:rPr>
          <w:b/>
        </w:rPr>
        <w:t xml:space="preserve">Ограничения. </w:t>
      </w:r>
      <w:r>
        <w:t>Разложение шоков зависит от идентификационных ограничений. Статья не оценивает наш нижний квантиль будущего роста и не доказывает прогнозное превосходство NFCI. Американский индекс может отражать глобальную, а не исключительно американскую информацию.</w:t>
      </w:r>
    </w:p>
    <w:p>
      <w:r>
        <w:rPr>
          <w:b/>
        </w:rPr>
        <w:t xml:space="preserve">Для диплома. </w:t>
      </w:r>
      <w:r>
        <w:t>В теории объясняю внешний финансовый канал и неоднозначность сигналов. В выводах использую формулировку «информация показателя США», не «выделенный причинный шок США». Добавление глобального контроля возможно лишь как ограниченная дополнительная проверка.</w:t>
      </w:r>
    </w:p>
    <w:p>
      <w:r>
        <w:rPr>
          <w:b/>
        </w:rPr>
        <w:t xml:space="preserve">Опора. </w:t>
      </w:r>
      <w:r>
        <w:t>papers/S30.pdf: PDF с. 2, 11, 24, 30; версию 2026 года нельзя описывать как неизменный текст 2021 года.</w:t>
      </w:r>
    </w:p>
    <w:p>
      <w:pPr>
        <w:pStyle w:val="Heading2"/>
      </w:pPr>
      <w:r>
        <w:t>S31 Разбор доступной полной версии</w:t>
      </w:r>
    </w:p>
    <w:p>
      <w:pPr>
        <w:keepNext/>
      </w:pPr>
      <w:r>
        <w:rPr>
          <w:b/>
        </w:rPr>
        <w:t>Dajčman, Silvo; Kavkler, Alenka; Mikek, Peter; Romih, Dejan. Transmission of Financial Stress Shocks between the USA and the Euro Area During Different Business Cycle Phases. E&amp;M Economics and Management, 2020.</w:t>
      </w:r>
    </w:p>
    <w:p>
      <w:pPr>
        <w:keepNext/>
      </w:pPr>
      <w:r>
        <w:rPr>
          <w:sz w:val="20"/>
        </w:rPr>
        <w:t>https://doi.org/10.15240/tul/001/2020-4-010</w:t>
      </w:r>
    </w:p>
    <w:p>
      <w:r>
        <w:rPr>
          <w:b/>
        </w:rPr>
        <w:t xml:space="preserve">Вопрос и данные. </w:t>
      </w:r>
      <w:r>
        <w:t>Зависит ли передача финансового стресса США в еврозону от фазы цикла? Рассматриваются месячные данные 1999M1–2017M11, финансовый стресс и показатели реальной активности.</w:t>
      </w:r>
    </w:p>
    <w:p>
      <w:r>
        <w:rPr>
          <w:b/>
        </w:rPr>
        <w:t xml:space="preserve">Модель и проверка. </w:t>
      </w:r>
      <w:r>
        <w:t>Байесовская пороговая VAR разделяет состояния экономики. Используется рекурсивный порядок переменных, в котором американский и европейский стресс расположены после реальных показателей. Анализируются импульсные реакции.</w:t>
      </w:r>
    </w:p>
    <w:p>
      <w:r>
        <w:rPr>
          <w:b/>
        </w:rPr>
        <w:t xml:space="preserve">Результат. </w:t>
      </w:r>
      <w:r>
        <w:t>Стресс США связан с ухудшением европейской реальной активности; сила реакции различается между фазами цикла. Для понимания передачи финансовых возмущений состояние принимающей экономики существенно.</w:t>
      </w:r>
    </w:p>
    <w:p>
      <w:r>
        <w:rPr>
          <w:b/>
        </w:rPr>
        <w:t xml:space="preserve">Ограничения. </w:t>
      </w:r>
      <w:r>
        <w:t>Рекурсивная идентификация задаёт ограничения мгновенной реакции. Режимная импульсная реакция и условный квантиль роста — разные объекты. Из сильной кризисной реакции не следует постоянный выигрыш прогнозов.</w:t>
      </w:r>
    </w:p>
    <w:p>
      <w:r>
        <w:rPr>
          <w:b/>
        </w:rPr>
        <w:t xml:space="preserve">Для диплома. </w:t>
      </w:r>
      <w:r>
        <w:t>Источник помогает интерпретировать неоднородность эффекта по времени. Не следует строить множество режимных QR на коротком агрегированном ряду. Сначала достаточно показать динамику разности потерь и описать заранее обозначенные эпизоды.</w:t>
      </w:r>
    </w:p>
    <w:p>
      <w:r>
        <w:rPr>
          <w:b/>
        </w:rPr>
        <w:t xml:space="preserve">Опора. </w:t>
      </w:r>
      <w:r>
        <w:t>papers/S31.pdf: PDF с. 1, 6, 12; E&amp;M Economics and Management, 2020.</w:t>
      </w:r>
    </w:p>
    <w:p>
      <w:pPr>
        <w:pStyle w:val="Heading2"/>
      </w:pPr>
      <w:r>
        <w:t>S32 Предварительный разбор</w:t>
      </w:r>
    </w:p>
    <w:p>
      <w:pPr>
        <w:keepNext/>
      </w:pPr>
      <w:r>
        <w:rPr>
          <w:b/>
        </w:rPr>
        <w:t>Kırcı Altınkeski, Buket; Çevik, Emrah İsmail; Diboğlu, Sel; Kutan, Ali M.. Financial stress transmission between the U.S. and the Euro Area. Journal of Financial Stability, 2022.</w:t>
      </w:r>
    </w:p>
    <w:p>
      <w:pPr>
        <w:keepNext/>
      </w:pPr>
      <w:r>
        <w:rPr>
          <w:sz w:val="20"/>
        </w:rPr>
        <w:t>https://doi.org/10.1016/j.jfs.2022.101004</w:t>
      </w:r>
    </w:p>
    <w:p>
      <w:r>
        <w:rPr>
          <w:b/>
        </w:rPr>
        <w:t xml:space="preserve">Вопрос и доступные сведения. </w:t>
      </w:r>
      <w:r>
        <w:t>По авторской аннотации исследуется передача финансового стресса США и еврозоны на недельных данных 2000–2021 годов. Используются предсказуемость по Грейнджеру в распределении и анализ хвостовой зависимости.</w:t>
      </w:r>
    </w:p>
    <w:p>
      <w:r>
        <w:rPr>
          <w:b/>
        </w:rPr>
        <w:t xml:space="preserve">Результат по аннотации. </w:t>
      </w:r>
      <w:r>
        <w:t>В центре распределения передача преимущественно направлена из США в еврозону, тогда как в стрессовых хвостах обнаруживается двусторонняя связь. Это результат для распределения финансового стресса, а не роста ВВП.</w:t>
      </w:r>
    </w:p>
    <w:p>
      <w:r>
        <w:rPr>
          <w:b/>
        </w:rPr>
        <w:t xml:space="preserve">Ограничение и применение. </w:t>
      </w:r>
      <w:r>
        <w:t>Полный PDF не получен; конструкции тестов и индекса не проверены. Работа поддерживает обсуждение обратных связей и исключает слишком простую причинную трактовку. Она не является готовым прогнозным аналогом нашего диплома.</w:t>
      </w:r>
    </w:p>
    <w:p>
      <w:r>
        <w:rPr>
          <w:b/>
        </w:rPr>
        <w:t xml:space="preserve">Опора. </w:t>
      </w:r>
      <w:r>
        <w:t>https://www.sciencedirect.com/science/article/pii/S1572308922000328 ; DOI 10.1016/j.jfs.2022.101004. Статус — предварительный разбор по аннотации.</w:t>
      </w:r>
    </w:p>
    <w:p>
      <w:pPr>
        <w:pStyle w:val="Heading2"/>
      </w:pPr>
      <w:r>
        <w:t>S33 Разбор доступной полной версии</w:t>
      </w:r>
    </w:p>
    <w:p>
      <w:pPr>
        <w:keepNext/>
      </w:pPr>
      <w:r>
        <w:rPr>
          <w:b/>
        </w:rPr>
        <w:t>Brave, Scott; Butters, R. Andrew. Diagnosing the Financial System: Financial Conditions and Financial Stress. International Journal of Central Banking, 2012.</w:t>
      </w:r>
    </w:p>
    <w:p>
      <w:pPr>
        <w:keepNext/>
      </w:pPr>
      <w:r>
        <w:rPr>
          <w:sz w:val="20"/>
        </w:rPr>
        <w:t>https://www.ijcb.org/sites/default/files/journal/v8n2/ijcb-v8n2-diagnosing-financial-system-financial-conditions-and-financial-stress.pdf</w:t>
      </w:r>
    </w:p>
    <w:p>
      <w:r>
        <w:rPr>
          <w:b/>
        </w:rPr>
        <w:t xml:space="preserve">Вопрос и данные. </w:t>
      </w:r>
      <w:r>
        <w:t>Как измерять финансовые условия и выявлять финансовый стресс? Работа представляет методологию семейства NFCI на большом наборе разнородных финансовых показателей США, включая компоненты риска, кредита и левериджа.</w:t>
      </w:r>
    </w:p>
    <w:p>
      <w:r>
        <w:rPr>
          <w:b/>
        </w:rPr>
        <w:t xml:space="preserve">Модель и проверка. </w:t>
      </w:r>
      <w:r>
        <w:t>Динамическая факторная модель объединяет данные разной частоты. Предупреждающая способность оценивается относительно стрессовых эпизодов; используются ROC и выбор порога с учётом стоимости ошибок. Отдельная симуляция доступности данных относится к 2007Q2–2008Q4.</w:t>
      </w:r>
    </w:p>
    <w:p>
      <w:r>
        <w:rPr>
          <w:b/>
        </w:rPr>
        <w:t xml:space="preserve">Результат. </w:t>
      </w:r>
      <w:r>
        <w:t>Общий индекс и его компоненты содержат информацию о состоянии системы, но их свойства различаются по горизонту и задаче. Сигналы левериджа и непосредственного стресса не следует интерпретировать одинаково.</w:t>
      </w:r>
    </w:p>
    <w:p>
      <w:r>
        <w:rPr>
          <w:b/>
        </w:rPr>
        <w:t xml:space="preserve">Ограничения. </w:t>
      </w:r>
      <w:r>
        <w:t>Симуляция псевдореального времени использует пересмотренные данные и не равнозначна архиву истинных исторических винтажей. Распознавание финансового кризиса отличается от прогнозирования нижнего хвоста роста ВВП.</w:t>
      </w:r>
    </w:p>
    <w:p>
      <w:r>
        <w:rPr>
          <w:b/>
        </w:rPr>
        <w:t xml:space="preserve">Для диплома. </w:t>
      </w:r>
      <w:r>
        <w:t>Статья нужна для экономического и статистического описания NFCI. Корректно показываю, почему его пересмотры могут влиять на прогноз. Нельзя утверждать, что проверка индекса на финансовых кризисах заранее подтверждает нашу гипотезу о еврозоне.</w:t>
      </w:r>
    </w:p>
    <w:p>
      <w:r>
        <w:rPr>
          <w:b/>
        </w:rPr>
        <w:t xml:space="preserve">Опора. </w:t>
      </w:r>
      <w:r>
        <w:t>papers/S33.pdf: PDF с. 21, 25, 38; International Journal of Central Banking, 2012.</w:t>
      </w:r>
    </w:p>
    <w:p>
      <w:pPr>
        <w:pStyle w:val="Heading2"/>
      </w:pPr>
      <w:r>
        <w:t>S34 Разбор доступной полной версии</w:t>
      </w:r>
    </w:p>
    <w:p>
      <w:pPr>
        <w:keepNext/>
      </w:pPr>
      <w:r>
        <w:rPr>
          <w:b/>
        </w:rPr>
        <w:t>Brave, Scott; Butters, R. Andrew. Monitoring Financial Stability: A Financial Conditions Index Approach. Economic Perspectives, Federal Reserve Bank of Chicago, 2011.</w:t>
      </w:r>
    </w:p>
    <w:p>
      <w:pPr>
        <w:keepNext/>
      </w:pPr>
      <w:r>
        <w:rPr>
          <w:sz w:val="20"/>
        </w:rPr>
        <w:t>https://www.chicagofed.org/-/media/publications/economic-perspectives/2011/1qtr2011-part2-brave-butters-pdf.pdf</w:t>
      </w:r>
    </w:p>
    <w:p>
      <w:r>
        <w:rPr>
          <w:b/>
        </w:rPr>
        <w:t xml:space="preserve">Вопрос и данные. </w:t>
      </w:r>
      <w:r>
        <w:t>Как мониторить финансовую устойчивость и проверить информацию финансового индекса для реальной экономики? Работа использует показатели США, в том числе компоненты национальных счетов и CFNAI.</w:t>
      </w:r>
    </w:p>
    <w:p>
      <w:r>
        <w:rPr>
          <w:b/>
        </w:rPr>
        <w:t xml:space="preserve">Модель и проверка. </w:t>
      </w:r>
      <w:r>
        <w:t>Псевдовневыборочная проверка начинается в 1985Q1 после начального периода от 1973Q1 и заканчивается в 2010Q2. Рассматриваются модели роста с финансовым индексом и реальными контролями; прогнозные ошибки сравниваются с авторегрессионной базой.</w:t>
      </w:r>
    </w:p>
    <w:p>
      <w:r>
        <w:rPr>
          <w:b/>
        </w:rPr>
        <w:t xml:space="preserve">Результат. </w:t>
      </w:r>
      <w:r>
        <w:t>Польза финансовой информации неодинакова по переменным. Существенная часть улучшения сосредоточена в позднем кризисном эпизоде, что подчёркивает зависимость результата от периода оценивания.</w:t>
      </w:r>
    </w:p>
    <w:p>
      <w:r>
        <w:rPr>
          <w:b/>
        </w:rPr>
        <w:t xml:space="preserve">Ограничения. </w:t>
      </w:r>
      <w:r>
        <w:t>Главные показатели точности относятся к средним прогнозам, а не к GaR. Частичная концентрация выигрыша на кризисе не доказывает устойчивой ценности в обычные годы. Псевдовневыборочная схема не устраняет все проблемы пересмотров.</w:t>
      </w:r>
    </w:p>
    <w:p>
      <w:r>
        <w:rPr>
          <w:b/>
        </w:rPr>
        <w:t xml:space="preserve">Для диплома. </w:t>
      </w:r>
      <w:r>
        <w:t>Беру обязательную диагностику вклада отдельных кварталов в суммарный выигрыш. Это проверка характера результата, а не повод скрыть влиятельный эпизод. Источник также показывает, что сравнение финансовой модели с реальным контрольным набором имеет давнюю историю.</w:t>
      </w:r>
    </w:p>
    <w:p>
      <w:r>
        <w:rPr>
          <w:b/>
        </w:rPr>
        <w:t xml:space="preserve">Опора. </w:t>
      </w:r>
      <w:r>
        <w:t>papers/S34.pdf: PDF с. 13–16; Chicago Fed Economic Perspectives, 2011.</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Финансовые условия США в прогнозировании рисков роста еврозоны</dc:title>
  <dc:subject>Обзор 34 научных работ и уточнение вклада бакалаврского диплома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