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cs="Times New Roman"/>
          <w:color w:val="000000"/>
          <w:sz w:val="28"/>
        </w:rPr>
        <w:t>Финансовые условия США в прогнозировании рисков роста еврозоны</w:t>
      </w:r>
    </w:p>
    <w:p>
      <w:pPr>
        <w:keepNext/>
        <w:widowControl/>
        <w:ind w:firstLine="0"/>
        <w:jc w:val="center"/>
      </w:pPr>
      <w:r>
        <w:rPr>
          <w:rFonts w:ascii="Times New Roman" w:hAnsi="Times New Roman" w:eastAsia="Times New Roman" w:cs="Times New Roman"/>
          <w:color w:val="000000"/>
        </w:rPr>
        <w:t>Уточнение постановки и результаты проверки замечаний</w:t>
      </w:r>
    </w:p>
    <w:p>
      <w:pPr>
        <w:keepNext/>
        <w:widowControl/>
        <w:ind w:firstLine="0"/>
        <w:jc w:val="center"/>
      </w:pPr>
      <w:r>
        <w:rPr>
          <w:rFonts w:ascii="Times New Roman" w:hAnsi="Times New Roman" w:eastAsia="Times New Roman" w:cs="Times New Roman"/>
          <w:color w:val="000000"/>
        </w:rPr>
        <w:t>Рустам Чулиев</w:t>
      </w:r>
    </w:p>
    <w:p>
      <w:pPr>
        <w:keepNext/>
        <w:widowControl/>
        <w:ind w:firstLine="0"/>
        <w:jc w:val="center"/>
      </w:pPr>
      <w:r>
        <w:rPr>
          <w:rFonts w:ascii="Times New Roman" w:hAnsi="Times New Roman" w:eastAsia="Times New Roman" w:cs="Times New Roman"/>
          <w:color w:val="000000"/>
        </w:rPr>
        <w:t>15 октября 2026 года</w:t>
      </w:r>
    </w:p>
    <w:p>
      <w:pPr>
        <w:pStyle w:val="Heading1"/>
      </w:pPr>
      <w:r>
        <w:rPr>
          <w:rFonts w:ascii="Times New Roman" w:hAnsi="Times New Roman" w:eastAsia="Times New Roman" w:cs="Times New Roman"/>
          <w:color w:val="000000"/>
        </w:rPr>
        <w:t>1 Основной вывод</w:t>
      </w:r>
    </w:p>
    <w:p>
      <w:pPr>
        <w:widowControl/>
        <w:jc w:val="both"/>
      </w:pPr>
      <w:r>
        <w:rPr>
          <w:rFonts w:ascii="Times New Roman" w:hAnsi="Times New Roman" w:eastAsia="Times New Roman" w:cs="Times New Roman"/>
          <w:color w:val="000000"/>
        </w:rPr>
        <w:t>После Ваших замечаний я уточнил международный механизм исследования, восстановил календарь публикаций, сделал простые ориентиры центральной частью сравнения и расширил проверки устойчивости. Дополнительно получены 59 исторических версий NFCI и рассчитаны 113 прогнозов с их использованием. Основные расчёты сохранены, новые проверки показаны отдельно.</w:t>
      </w:r>
    </w:p>
    <w:p>
      <w:pPr>
        <w:widowControl/>
        <w:jc w:val="both"/>
      </w:pPr>
      <w:r>
        <w:rPr>
          <w:rFonts w:ascii="Times New Roman" w:hAnsi="Times New Roman" w:eastAsia="Times New Roman" w:cs="Times New Roman"/>
          <w:color w:val="000000"/>
        </w:rPr>
        <w:t>Предлагаю сохранить тему как сравнительное ретроспективное исследование. Американские индикаторы способны улучшать отдельную европейскую регрессию, однако устойчивое преимущество перед простыми прогнозами не подтверждено. Это содержательный результат о границах дополнительной информации США. Он не позволяет утверждать, что разработана надёжная система прогнозирования в реальном времени.</w:t>
      </w:r>
    </w:p>
    <w:p>
      <w:pPr>
        <w:widowControl/>
        <w:jc w:val="both"/>
      </w:pPr>
      <w:r>
        <w:rPr>
          <w:rFonts w:ascii="Times New Roman" w:hAnsi="Times New Roman" w:eastAsia="Times New Roman" w:cs="Times New Roman"/>
          <w:color w:val="000000"/>
        </w:rPr>
        <w:t>Календарь публикаций ВВП и ESI проверен для всех рассматриваемых дат. При этом полный набор исторических числовых версий всех переменных не восстановлен. Поэтому второй пункт Ваших замечаний проработан в части календаря и частичной проверки пересмотров, но требование полностью воспроизвести информационный набор каждой исторической даты остаётся невыполненным. Ниже я явно отделяю проверенные факты от этого ограничения.</w:t>
      </w:r>
    </w:p>
    <w:p>
      <w:pPr>
        <w:pStyle w:val="Heading1"/>
      </w:pPr>
      <w:r>
        <w:rPr>
          <w:rFonts w:ascii="Times New Roman" w:hAnsi="Times New Roman" w:eastAsia="Times New Roman" w:cs="Times New Roman"/>
          <w:color w:val="000000"/>
        </w:rPr>
        <w:t>2 Исследовательский вопрос и международный механизм</w:t>
      </w:r>
    </w:p>
    <w:p>
      <w:pPr>
        <w:widowControl/>
        <w:jc w:val="both"/>
      </w:pPr>
      <w:r>
        <w:rPr>
          <w:rFonts w:ascii="Times New Roman" w:hAnsi="Times New Roman" w:eastAsia="Times New Roman" w:cs="Times New Roman"/>
          <w:color w:val="000000"/>
        </w:rPr>
        <w:t>Исследовательский вопрос формулирую следующим образом: содержат ли NFCI и CISS США дополнительную информацию о нижнем квантиле будущего роста еврозоны после учёта европейского финансового стресса и экономических настроений, и насколько устойчиво улучшение относительно европейской модели и простых прогнозов?</w:t>
      </w:r>
    </w:p>
    <w:p>
      <w:pPr>
        <w:widowControl/>
        <w:jc w:val="both"/>
      </w:pPr>
      <w:r>
        <w:rPr>
          <w:rFonts w:ascii="Times New Roman" w:hAnsi="Times New Roman" w:eastAsia="Times New Roman" w:cs="Times New Roman"/>
          <w:color w:val="000000"/>
        </w:rPr>
        <w:t>Экономический предмет работы — международная взаимосвязь финансовых условий и рисков реального роста. США важны как крупный рынок капитала и центр долларового финансирования. Изменения американских условий могут отражаться на европейской экономике через стоимость капитала, банковское фондирование и международные портфельные потоки. Вместе с тем индекс США может реагировать на общий мировой риск или европейские новости. В регрессии эти источники не разделяются.</w:t>
      </w:r>
    </w:p>
    <w:p>
      <w:pPr>
        <w:widowControl/>
        <w:jc w:val="both"/>
      </w:pPr>
      <w:r>
        <w:rPr>
          <w:rFonts w:ascii="Times New Roman" w:hAnsi="Times New Roman" w:eastAsia="Times New Roman" w:cs="Times New Roman"/>
          <w:color w:val="000000"/>
        </w:rPr>
        <w:t>Первый механизм связан с переоценкой риска. Изменение отношения глобальных инвесторов к риску меняет премии, волатильность и стоимость активов на разных рынках. Рост стоимости финансирования может ограничивать европейские инвестиции и усиливать неблагоприятные исходы роста. Если общий риск уже отражён европейским CISS, американский показатель может не добавлять полезной прогнозной информации. Поэтому экономическая взаимосвязь сама по себе не гарантирует улучшения прогноза. На это различие опирается обсуждение Habib и Venditti (2018) [3].</w:t>
      </w:r>
    </w:p>
    <w:p>
      <w:pPr>
        <w:widowControl/>
        <w:jc w:val="both"/>
      </w:pPr>
      <w:r>
        <w:rPr>
          <w:rFonts w:ascii="Times New Roman" w:hAnsi="Times New Roman" w:eastAsia="Times New Roman" w:cs="Times New Roman"/>
          <w:color w:val="000000"/>
        </w:rPr>
        <w:t>Второй механизм проходит через международные банковские балансы. Глобальные банки связывают фондирование в финансовых центрах с предоставлением кредита в других экономиках. Ограничения финансового рычага и рост стоимости фондирования способны сокращать трансграничное кредитование. Эту логику раскрывают Bruno и Shin (2015), а международную роль американской денежной политики рассматривают Miranda-Agrippino и Rey (2020) [1, 2]. В собственной модели я не измеряю банковские потоки и не утверждаю, что именно этот канал идентифицирован.</w:t>
      </w:r>
    </w:p>
    <w:p>
      <w:pPr>
        <w:widowControl/>
        <w:jc w:val="both"/>
      </w:pPr>
      <w:r>
        <w:rPr>
          <w:rFonts w:ascii="Times New Roman" w:hAnsi="Times New Roman" w:eastAsia="Times New Roman" w:cs="Times New Roman"/>
          <w:color w:val="000000"/>
        </w:rPr>
        <w:t>Третий механизм связан с небанковскими посредниками. Международные инвестиционные фонды перераспределяют средства между американскими и европейскими активами. Это может менять условия выпуска облигаций и акций европейскими компаниями. Kaufmann показывает, почему при обсуждении международной передачи следует учитывать фонды и их портфельные решения [4]. Направление потоков зависит от характера изменений; одинаковое воздействие каждого американского импульса на европейский рост не предполагается.</w:t>
      </w:r>
    </w:p>
    <w:p>
      <w:pPr>
        <w:widowControl/>
        <w:jc w:val="both"/>
      </w:pPr>
      <w:r>
        <w:rPr>
          <w:rFonts w:ascii="Times New Roman" w:hAnsi="Times New Roman" w:eastAsia="Times New Roman" w:cs="Times New Roman"/>
          <w:color w:val="000000"/>
        </w:rPr>
        <w:t>Дополнительную роль играют курс евро, долларовое финансирование и спрос на безопасные активы. Финансовое ужесточение может сочетаться с изменением ценовой конкурентоспособности европейского экспорта, поэтому итоговый эффект неоднозначен. Работа Brandt и соавторов полезна для различения американских влияний и глобального риска [5]. В моей модели индекс остаётся совокупным показателем, а коэффициент при нём не является оценкой причинного воздействия решения ФРС.</w:t>
      </w:r>
    </w:p>
    <w:p>
      <w:pPr>
        <w:widowControl/>
        <w:jc w:val="both"/>
      </w:pPr>
      <w:r>
        <w:rPr>
          <w:rFonts w:ascii="Times New Roman" w:hAnsi="Times New Roman" w:eastAsia="Times New Roman" w:cs="Times New Roman"/>
          <w:color w:val="000000"/>
        </w:rPr>
        <w:t>Сравнение NFCI и CISS имеет экономический смысл. NFCI охватывает риск, кредит и финансовый рычаг, а New CISS характеризует совместный стресс рыночных сегментов. После включения европейского CISS американский CISS может в значительной мере повторять общий стресс, тогда как NFCI потенциально добавляет более широкий финансовый компонент. В собранном наборе корреляция европейского и американского CISS составляет около 0,905, европейского CISS и NFCI — 0,833. Это описание совместного движения, а не доказательство направления передачи.</w:t>
      </w:r>
    </w:p>
    <w:p>
      <w:pPr>
        <w:pStyle w:val="Heading1"/>
      </w:pPr>
      <w:r>
        <w:rPr>
          <w:rFonts w:ascii="Times New Roman" w:hAnsi="Times New Roman" w:eastAsia="Times New Roman" w:cs="Times New Roman"/>
          <w:color w:val="000000"/>
        </w:rPr>
        <w:t>3 Данные и календарь формирования прогнозов</w:t>
      </w:r>
    </w:p>
    <w:p>
      <w:pPr>
        <w:widowControl/>
        <w:jc w:val="both"/>
      </w:pPr>
      <w:r>
        <w:rPr>
          <w:rFonts w:ascii="Times New Roman" w:hAnsi="Times New Roman" w:eastAsia="Times New Roman" w:cs="Times New Roman"/>
          <w:color w:val="000000"/>
        </w:rPr>
        <w:t>Используется сохранённый квартальный набор 1995Q1–2025Q4, 124 квартала. Основные источники открытые, исходные выгрузки и преобразования включены в проект. В основной модели сохранены прежние версии данных; новая выгрузка не подменяет их незаметно.</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1757"/>
        <w:gridCol w:w="3969"/>
        <w:gridCol w:w="3628"/>
      </w:tblGrid>
      <w:tr>
        <w:trPr>
          <w:cantSplit/>
          <w:tblHeader/>
        </w:trPr>
        <w:tc>
          <w:tcPr>
            <w:tcW w:type="dxa" w:w="1757"/>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b/>
                <w:color w:val="000000"/>
                <w:sz w:val="22"/>
              </w:rPr>
              <w:t>Переменная</w:t>
            </w:r>
          </w:p>
        </w:tc>
        <w:tc>
          <w:tcPr>
            <w:tcW w:type="dxa" w:w="396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b/>
                <w:color w:val="000000"/>
                <w:sz w:val="22"/>
              </w:rPr>
              <w:t>Источник и ряд</w:t>
            </w:r>
          </w:p>
        </w:tc>
        <w:tc>
          <w:tcPr>
            <w:tcW w:type="dxa" w:w="3628"/>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b/>
                <w:color w:val="000000"/>
                <w:sz w:val="22"/>
              </w:rPr>
              <w:t>Преобразование</w:t>
            </w:r>
          </w:p>
        </w:tc>
      </w:tr>
      <w:tr>
        <w:trPr>
          <w:cantSplit/>
        </w:trPr>
        <w:tc>
          <w:tcPr>
            <w:tcW w:type="dxa" w:w="1757"/>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Реальный ВВП</w:t>
            </w:r>
          </w:p>
        </w:tc>
        <w:tc>
          <w:tcPr>
            <w:tcW w:type="dxa" w:w="396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Eurostat namq_10_gdp, фиксированный EA20</w:t>
            </w:r>
          </w:p>
        </w:tc>
        <w:tc>
          <w:tcPr>
            <w:tcW w:type="dxa" w:w="3628"/>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Годовой логарифмический будущий рост и рост с лагом один квартал</w:t>
            </w:r>
          </w:p>
        </w:tc>
      </w:tr>
      <w:tr>
        <w:trPr>
          <w:cantSplit/>
        </w:trPr>
        <w:tc>
          <w:tcPr>
            <w:tcW w:type="dxa" w:w="1757"/>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Экономические настроения</w:t>
            </w:r>
          </w:p>
        </w:tc>
        <w:tc>
          <w:tcPr>
            <w:tcW w:type="dxa" w:w="396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European Commission через Eurostat ei_bssi_m_r2, EA20, BS-ESI-I, SA</w:t>
            </w:r>
          </w:p>
        </w:tc>
        <w:tc>
          <w:tcPr>
            <w:tcW w:type="dxa" w:w="3628"/>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Среднее первых двух месяцев квартала; исходно 372 месячных значения</w:t>
            </w:r>
          </w:p>
        </w:tc>
      </w:tr>
      <w:tr>
        <w:trPr>
          <w:cantSplit/>
        </w:trPr>
        <w:tc>
          <w:tcPr>
            <w:tcW w:type="dxa" w:w="1757"/>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Финансовый стресс еврозоны</w:t>
            </w:r>
          </w:p>
        </w:tc>
        <w:tc>
          <w:tcPr>
            <w:tcW w:type="dxa" w:w="396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ECB CISS.D.U2.Z0Z.4F.EC.SS_CIN.IDX</w:t>
            </w:r>
          </w:p>
        </w:tc>
        <w:tc>
          <w:tcPr>
            <w:tcW w:type="dxa" w:w="3628"/>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Среднее ежедневных наблюдений квартала с запасом семь календарных дней</w:t>
            </w:r>
          </w:p>
        </w:tc>
      </w:tr>
      <w:tr>
        <w:trPr>
          <w:cantSplit/>
        </w:trPr>
        <w:tc>
          <w:tcPr>
            <w:tcW w:type="dxa" w:w="1757"/>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Финансовый стресс США</w:t>
            </w:r>
          </w:p>
        </w:tc>
        <w:tc>
          <w:tcPr>
            <w:tcW w:type="dxa" w:w="396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ECB CISS.D.US.Z0Z.4F.EC.SS_CIN.IDX</w:t>
            </w:r>
          </w:p>
        </w:tc>
        <w:tc>
          <w:tcPr>
            <w:tcW w:type="dxa" w:w="3628"/>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То же правило; отдельное расширение европейской модели</w:t>
            </w:r>
          </w:p>
        </w:tc>
      </w:tr>
      <w:tr>
        <w:trPr>
          <w:cantSplit/>
        </w:trPr>
        <w:tc>
          <w:tcPr>
            <w:tcW w:type="dxa" w:w="1757"/>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Финансовые условия США</w:t>
            </w:r>
          </w:p>
        </w:tc>
        <w:tc>
          <w:tcPr>
            <w:tcW w:type="dxa" w:w="396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Chicago Fed NFCI через FRED и ALFRED</w:t>
            </w:r>
          </w:p>
        </w:tc>
        <w:tc>
          <w:tcPr>
            <w:tcW w:type="dxa" w:w="3628"/>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Среднее недельных наблюдений с тем же запасом; отдельное расширение модели</w:t>
            </w:r>
          </w:p>
        </w:tc>
      </w:tr>
    </w:tbl>
    <w:p>
      <w:pPr>
        <w:spacing w:after="40" w:before="0" w:lineRule="exact" w:line="60"/>
        <w:ind w:firstLine="0"/>
      </w:pPr>
      <w:r>
        <w:rPr>
          <w:rFonts w:ascii="Times New Roman" w:hAnsi="Times New Roman" w:eastAsia="Times New Roman" w:cs="Times New Roman"/>
          <w:color w:val="000000"/>
          <w:sz w:val="4"/>
        </w:rPr>
      </w:r>
    </w:p>
    <w:p>
      <w:pPr>
        <w:widowControl/>
        <w:jc w:val="both"/>
      </w:pPr>
      <w:r>
        <w:rPr>
          <w:rFonts w:ascii="Times New Roman" w:hAnsi="Times New Roman" w:eastAsia="Times New Roman" w:cs="Times New Roman"/>
          <w:color w:val="000000"/>
        </w:rPr>
        <w:t>Условный срок прогноза — конец последнего календарного дня квартала t по времени Брюсселя. В регрессоры входит рост только до t−1. При обучении на дате s используются цели, заканчивающиеся не позже t−1: s+h ≤ t−1. ВВП квартала t и будущие значения нужны только при последующей оценке исхода. Семидневный запас для финансовых рядов — консервативное правило отбора наблюдений, которое само по себе не доказывает доступность их нынешней числовой версии. Два месяца ESI также являются единым консервативным правилом: третий месяц не объявляется всегда недоступным, но не входит в выбранную базу даже там, где уже был опубликован. Вывод об улучшении относится именно к этому набору контролей.</w:t>
      </w:r>
    </w:p>
    <w:p>
      <w:pPr>
        <w:widowControl/>
        <w:jc w:val="both"/>
      </w:pPr>
      <w:r>
        <w:rPr>
          <w:rFonts w:ascii="Times New Roman" w:hAnsi="Times New Roman" w:eastAsia="Times New Roman" w:cs="Times New Roman"/>
          <w:color w:val="000000"/>
        </w:rPr>
        <w:t>Проверены все 64 квартальные даты 2010Q1–2025Q4. При исходах до 2025Q4 доступны 63 оцениваемых прогноза на один квартал, последний за 2025Q3, и 60 на четыре квартала, последний за 2024Q4. Для всех 64 дат подтверждён регулярный выпуск ВВП предыдущего квартала: 30 ранних дат восстановлены по конкретным публикациям Eurostat, ещё 34 прямо указаны в официальном треугольнике пересмотров. Все 128 дат публикации используемых месяцев ESI подтверждены официальными архивами выпусков. Приоритет имеют фактические заголовки выпусков, а не плановый календарь.</w:t>
      </w:r>
    </w:p>
    <w:p>
      <w:pPr>
        <w:widowControl/>
        <w:jc w:val="both"/>
      </w:pPr>
      <w:r>
        <w:rPr>
          <w:rFonts w:ascii="Times New Roman" w:hAnsi="Times New Roman" w:eastAsia="Times New Roman" w:cs="Times New Roman"/>
          <w:color w:val="000000"/>
        </w:rPr>
        <w:t>Например, на 31 декабря 2024 года в регрессор роста входит 2024Q3, регулярная публикация которого состоялась 6 декабря. Используются ESI за октябрь и ноябрь, выпущенные 30 октября и 28 ноября. Последние отбираемые наблюдения New CISS относятся к 24 декабря, NFCI — к 20 декабря. В каталоге ALFRED ближайший выпуск NFCI после этой недели датирован 26 декабря. Полный календарь по каждой дате и 10 431 паре обучения приложен в электронных таблицах CSV.</w:t>
      </w:r>
    </w:p>
    <w:p>
      <w:pPr>
        <w:widowControl/>
        <w:jc w:val="both"/>
      </w:pPr>
      <w:r>
        <w:rPr>
          <w:rFonts w:ascii="Times New Roman" w:hAnsi="Times New Roman" w:eastAsia="Times New Roman" w:cs="Times New Roman"/>
          <w:color w:val="000000"/>
        </w:rPr>
        <w:t>При проверке обнаружено, что NFCI начал публиковаться 13 апреля 2011 года [Д5]. Поэтому пять ранних прогнозных дат 2010Q1–2011Q1 используют ретроспективную историю индекса. Их нельзя представлять как осуществимые тогда прогнозы. Отдельно рассчитано сравнение после начала публикации. Ежедневная версия CISS показана уже в Financial Stability Review ECB за май 2020 года [Д7]; публикация методической статьи в 2023 году не является доказательством начала существования индекса именно в 2023 году. Точная первая публичная дата каждого используемого ряда не установлена.</w:t>
      </w:r>
    </w:p>
    <w:p>
      <w:pPr>
        <w:widowControl/>
        <w:jc w:val="both"/>
      </w:pPr>
      <w:r>
        <w:rPr>
          <w:rFonts w:ascii="Times New Roman" w:hAnsi="Times New Roman" w:eastAsia="Times New Roman" w:cs="Times New Roman"/>
          <w:color w:val="000000"/>
        </w:rPr>
        <w:t>Остаются существенные ограничения. Фиксированный EA20 в ВВП и ESI отличается от меняющегося исторического состава еврозоны и от географии U2 в CISS. Современные значения ВВП и ESI содержат пересмотры. Для New CISS не восстановлены полные числовые версии на каждую историческую дату. Календарь выпуска и наличие аналогичного показателя не означают доступности сегодняшнего значения тогда. Полный эксперимент в реальном времени поэтому не заявляется.</w:t>
      </w:r>
    </w:p>
    <w:p>
      <w:pPr>
        <w:pStyle w:val="Heading1"/>
      </w:pPr>
      <w:r>
        <w:rPr>
          <w:rFonts w:ascii="Times New Roman" w:hAnsi="Times New Roman" w:eastAsia="Times New Roman" w:cs="Times New Roman"/>
          <w:color w:val="000000"/>
        </w:rPr>
        <w:t>4 Модели и основные результаты</w:t>
      </w:r>
    </w:p>
    <w:p>
      <w:pPr>
        <w:widowControl/>
        <w:jc w:val="both"/>
      </w:pPr>
      <w:r>
        <w:rPr>
          <w:rFonts w:ascii="Times New Roman" w:hAnsi="Times New Roman" w:eastAsia="Times New Roman" w:cs="Times New Roman"/>
          <w:color w:val="000000"/>
        </w:rPr>
        <w:t>Целевая переменная G(t,h) = (400/h) × ln[Y(t+h)/Y(t)], где Y — реальный ВВП. Основной горизонт h=1, дополнительный h=4. Это годовой логарифмический темп роста в процентах. Оценивается условный десятый процентиль, τ=0,10. Он характеризует неблагоприятную часть распределения, но не является вероятностью рецессии.</w:t>
      </w:r>
    </w:p>
    <w:p>
      <w:pPr>
        <w:widowControl/>
        <w:jc w:val="both"/>
      </w:pPr>
      <w:r>
        <w:rPr>
          <w:rFonts w:ascii="Times New Roman" w:hAnsi="Times New Roman" w:eastAsia="Times New Roman" w:cs="Times New Roman"/>
          <w:color w:val="000000"/>
        </w:rPr>
        <w:t>Базовая квантильная регрессия содержит константу, лаговый рост, CISS еврозоны и ESI. Американские индикаторы добавляются по одному. Схематически: Q0,10[G(t,h) | X(t)] = β0 + βg g(t−1) + βe CISS_EA(t) + βs ESI(t) + βu US_j(t), где последний член отсутствует в BASE, а j соответствует CISS США или NFCI. Объясняющие переменные стандартизируются только по текущей обучающей выборке.</w:t>
      </w:r>
    </w:p>
    <w:p>
      <w:pPr>
        <w:widowControl/>
        <w:jc w:val="both"/>
      </w:pPr>
      <w:r>
        <w:rPr>
          <w:rFonts w:ascii="Times New Roman" w:hAnsi="Times New Roman" w:eastAsia="Times New Roman" w:cs="Times New Roman"/>
          <w:color w:val="000000"/>
        </w:rPr>
        <w:t>HIST — исторический десятый процентиль обучающих исходов; AR — квантильная авторегрессия только с константой и лаговым ростом. Все пять моделей используют одинаковые даты оценки и одинаковые допустимые обучающие пары. Основная схема — расширяющаяся выборка. Качество измеряется средней квантильной потерей: L = u × [τ − I(u&lt;0)], где u — фактический рост минус прогноз квантиля. Меньшая потеря лучше; сравнения выполняются внутри каждого горизонта.</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231"/>
        <w:gridCol w:w="1531"/>
        <w:gridCol w:w="1531"/>
        <w:gridCol w:w="1531"/>
        <w:gridCol w:w="1531"/>
      </w:tblGrid>
      <w:tr>
        <w:trPr>
          <w:cantSplit/>
          <w:tblHeader/>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b/>
                <w:color w:val="000000"/>
                <w:sz w:val="22"/>
              </w:rPr>
              <w:t>Модель</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Потеря h=1</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К HIST h=1</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Потеря h=4</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К HIST h=4</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HIST</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1,2133</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1,000</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0,6891</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1,000</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AR</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1,8321</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1,510</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0,8205</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1,191</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BASE</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1,7387</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1,433</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0,7156</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1,038</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BASE + CISS США</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1,6791</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1,384</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0,9494</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1,378</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BASE + NFCI США</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1,4634</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1,206</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0,9339</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1,355</w:t>
            </w:r>
          </w:p>
        </w:tc>
      </w:tr>
    </w:tbl>
    <w:p>
      <w:pPr>
        <w:spacing w:after="40" w:before="0" w:lineRule="exact" w:line="60"/>
        <w:ind w:firstLine="0"/>
      </w:pPr>
      <w:r>
        <w:rPr>
          <w:rFonts w:ascii="Times New Roman" w:hAnsi="Times New Roman" w:eastAsia="Times New Roman" w:cs="Times New Roman"/>
          <w:color w:val="000000"/>
          <w:sz w:val="4"/>
        </w:rPr>
      </w:r>
    </w:p>
    <w:p>
      <w:pPr>
        <w:widowControl/>
        <w:jc w:val="both"/>
      </w:pPr>
      <w:r>
        <w:rPr>
          <w:rFonts w:ascii="Times New Roman" w:hAnsi="Times New Roman" w:eastAsia="Times New Roman" w:cs="Times New Roman"/>
          <w:color w:val="000000"/>
        </w:rPr>
        <w:t>На h=1 NFCI уменьшает потерю BASE на 15,8%, но его потеря на 20,6% выше HIST. CISS США улучшает BASE только на 3,4% и также уступает HIST. На h=4 NFCI ухудшает BASE на 30,5%, CISS США — на 32,7%. В основной схеме HIST имеет наименьшую среднюю потерю среди пяти моделей на обоих горизонтах. Выигрыш относительно BASE и превосходство над простыми прогнозами являются разными вопросами.</w:t>
      </w:r>
    </w:p>
    <w:p>
      <w:pPr>
        <w:widowControl/>
        <w:jc w:val="both"/>
      </w:pPr>
      <w:r>
        <w:rPr>
          <w:rFonts w:ascii="Times New Roman" w:hAnsi="Times New Roman" w:eastAsia="Times New Roman" w:cs="Times New Roman"/>
          <w:color w:val="000000"/>
        </w:rPr>
        <w:t>Дополнительно проверена частота случаев, когда фактический рост ниже прогнозируемого десятого процентиля. На h=1 она равна 11,1% у HIST, 9,5% у AR, 14,3% у BASE, 22,2% у CISS США и 15,9% у NFCI. На h=4 у NFCI — 33,3%, у CISS США — 31,7% вместо ориентировочных 10%. Последние результаты указывают на слишком оптимистичное положение нижнего квантиля в этой выборке. Из-за перекрывающихся четырёхквартальных целей и короткой выборки частоты не трактуются как независимые испытания. Полная проверка условного покрытия по Corradi и соавторам не выполнена [12].</w:t>
      </w:r>
    </w:p>
    <w:p>
      <w:pPr>
        <w:pStyle w:val="Heading1"/>
      </w:pPr>
      <w:r>
        <w:rPr>
          <w:rFonts w:ascii="Times New Roman" w:hAnsi="Times New Roman" w:eastAsia="Times New Roman" w:cs="Times New Roman"/>
          <w:color w:val="000000"/>
        </w:rPr>
        <w:t>5 Исторические версии NFCI</w:t>
      </w:r>
    </w:p>
    <w:p>
      <w:pPr>
        <w:widowControl/>
        <w:jc w:val="both"/>
      </w:pPr>
      <w:r>
        <w:rPr>
          <w:rFonts w:ascii="Times New Roman" w:hAnsi="Times New Roman" w:eastAsia="Times New Roman" w:cs="Times New Roman"/>
          <w:color w:val="000000"/>
        </w:rPr>
        <w:t>Для каждого конца квартала 2011Q2–2025Q4 из ALFRED получена отдельная версия всей истории NFCI с 1995 года. Проверены все 59 CSV, даты версий в названиях столбцов, диапазоны наблюдений и контрольные суммы. На каждой прогнозной дате пересчитаны как текущий NFCI, так и его история в обучающей выборке. ВВП, ESI и оба CISS остаются пересмотренными. Это частичная проверка чувствительности к версиям NFCI, а не полный эксперимент в реальном времени.</w:t>
      </w:r>
    </w:p>
    <w:p>
      <w:pPr>
        <w:widowControl/>
        <w:jc w:val="both"/>
      </w:pPr>
      <w:r>
        <w:rPr>
          <w:rFonts w:ascii="Times New Roman" w:hAnsi="Times New Roman" w:eastAsia="Times New Roman" w:cs="Times New Roman"/>
          <w:color w:val="000000"/>
        </w:rPr>
        <w:t>На одинаковых датах после начала публикации получены 58 прогнозов h=1 и 55 прогнозов h=4. Старый вариант на пересмотренном NFCI показан рядом с новым, чтобы не смешивать эффект пересмотров и исключения ранних дат.</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3231"/>
        <w:gridCol w:w="1531"/>
        <w:gridCol w:w="1531"/>
        <w:gridCol w:w="1531"/>
        <w:gridCol w:w="1531"/>
      </w:tblGrid>
      <w:tr>
        <w:trPr>
          <w:cantSplit/>
          <w:tblHeader/>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b/>
                <w:color w:val="000000"/>
                <w:sz w:val="22"/>
              </w:rPr>
              <w:t>Вариант на общих датах</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Потеря h=1</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К HIST h=1</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Потеря h=4</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К HIST h=4</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HIST</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1,2970</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1,000</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0,7298</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1,000</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BASE</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1,8492</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1,426</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0,7374</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1,010</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NFCI пересмотренный</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1,5527</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1,197</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0,9645</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1,322</w:t>
            </w:r>
          </w:p>
        </w:tc>
      </w:tr>
      <w:tr>
        <w:trPr>
          <w:cantSplit/>
        </w:trPr>
        <w:tc>
          <w:tcPr>
            <w:tcW w:type="dxa" w:w="3231"/>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Только NFCI в исторических версиях</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1,6377</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1,263</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1,0472</w:t>
            </w:r>
          </w:p>
        </w:tc>
        <w:tc>
          <w:tcPr>
            <w:tcW w:type="dxa" w:w="1531"/>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1,435</w:t>
            </w:r>
          </w:p>
        </w:tc>
      </w:tr>
    </w:tbl>
    <w:p>
      <w:pPr>
        <w:spacing w:after="40" w:before="0" w:lineRule="exact" w:line="60"/>
        <w:ind w:firstLine="0"/>
      </w:pPr>
      <w:r>
        <w:rPr>
          <w:rFonts w:ascii="Times New Roman" w:hAnsi="Times New Roman" w:eastAsia="Times New Roman" w:cs="Times New Roman"/>
          <w:color w:val="000000"/>
          <w:sz w:val="4"/>
        </w:rPr>
      </w:r>
    </w:p>
    <w:p>
      <w:pPr>
        <w:widowControl/>
        <w:jc w:val="both"/>
      </w:pPr>
      <w:r>
        <w:rPr>
          <w:rFonts w:ascii="Times New Roman" w:hAnsi="Times New Roman" w:eastAsia="Times New Roman" w:cs="Times New Roman"/>
          <w:color w:val="000000"/>
        </w:rPr>
        <w:t>На h=1 выигрыш относительно BASE уменьшается с 16,0% до 11,4%; отставание от HIST увеличивается с 19,7% до 26,3%. На h=4 потеря становится выше BASE на 42,0%. Доля исходов ниже прогнозного квантиля в варианте с историческими версиями NFCI составляет 24,1% и 45,5% на двух горизонтах. Следовательно, переход к версиям NFCI не укрепляет утверждение о превосходстве в данном эксперименте. Переход к историческим версиям остальных переменных может снова изменить результаты; его направление заранее неизвестно.</w:t>
      </w:r>
    </w:p>
    <w:p>
      <w:pPr>
        <w:pStyle w:val="Heading1"/>
      </w:pPr>
      <w:r>
        <w:rPr>
          <w:rFonts w:ascii="Times New Roman" w:hAnsi="Times New Roman" w:eastAsia="Times New Roman" w:cs="Times New Roman"/>
          <w:color w:val="000000"/>
        </w:rPr>
        <w:t>6 Устойчивость и экстремальные наблюдения</w:t>
      </w:r>
    </w:p>
    <w:p>
      <w:pPr>
        <w:widowControl/>
        <w:jc w:val="both"/>
      </w:pPr>
      <w:r>
        <w:rPr>
          <w:rFonts w:ascii="Times New Roman" w:hAnsi="Times New Roman" w:eastAsia="Times New Roman" w:cs="Times New Roman"/>
          <w:color w:val="000000"/>
        </w:rPr>
        <w:t>Для основного горизонта отдельно показаны различные способы проверки. Отношение потерь ниже единицы означает преимущество NFCI; диагностические варианты не заменяют основную спецификацию.</w:t>
      </w:r>
    </w:p>
    <w:tbl>
      <w:tblPr>
        <w:tblW w:type="auto" w:w="0"/>
        <w:jc w:val="center"/>
        <w:tblLayout w:type="fixed"/>
        <w:tblLook w:firstColumn="1" w:firstRow="1" w:lastColumn="0" w:lastRow="0" w:noHBand="0" w:noVBand="1" w:val="04A0"/>
        <w:tblBorders>
          <w:top w:val="single" w:sz="4" w:color="B7B7B7"/>
          <w:left w:val="single" w:sz="4" w:color="B7B7B7"/>
          <w:bottom w:val="single" w:sz="4" w:color="B7B7B7"/>
          <w:right w:val="single" w:sz="4" w:color="B7B7B7"/>
          <w:insideH w:val="single" w:sz="4" w:color="B7B7B7"/>
          <w:insideV w:val="single" w:sz="4" w:color="B7B7B7"/>
        </w:tblBorders>
      </w:tblPr>
      <w:tblGrid>
        <w:gridCol w:w="5499"/>
        <w:gridCol w:w="1928"/>
        <w:gridCol w:w="1928"/>
      </w:tblGrid>
      <w:tr>
        <w:trPr>
          <w:cantSplit/>
          <w:tblHeader/>
        </w:trPr>
        <w:tc>
          <w:tcPr>
            <w:tcW w:type="dxa" w:w="549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b/>
                <w:color w:val="000000"/>
                <w:sz w:val="22"/>
              </w:rPr>
              <w:t>Проверка h=1</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NFCI к BASE</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b/>
                <w:color w:val="000000"/>
                <w:sz w:val="22"/>
              </w:rPr>
              <w:t>NFCI к HIST</w:t>
            </w:r>
          </w:p>
        </w:tc>
      </w:tr>
      <w:tr>
        <w:trPr>
          <w:cantSplit/>
        </w:trPr>
        <w:tc>
          <w:tcPr>
            <w:tcW w:type="dxa" w:w="549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Основная расширяющаяся выборка</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0,842</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1,206</w:t>
            </w:r>
          </w:p>
        </w:tc>
      </w:tr>
      <w:tr>
        <w:trPr>
          <w:cantSplit/>
        </w:trPr>
        <w:tc>
          <w:tcPr>
            <w:tcW w:type="dxa" w:w="549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Скользящее окно 52 обучающие пары</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0,816</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1,275</w:t>
            </w:r>
          </w:p>
        </w:tc>
      </w:tr>
      <w:tr>
        <w:trPr>
          <w:cantSplit/>
        </w:trPr>
        <w:tc>
          <w:tcPr>
            <w:tcW w:type="dxa" w:w="549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Второй лаг роста</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0,912</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1,053</w:t>
            </w:r>
          </w:p>
        </w:tc>
      </w:tr>
      <w:tr>
        <w:trPr>
          <w:cantSplit/>
        </w:trPr>
        <w:tc>
          <w:tcPr>
            <w:tcW w:type="dxa" w:w="549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Регрессии без лагового роста</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0,959</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0,997</w:t>
            </w:r>
          </w:p>
        </w:tc>
      </w:tr>
      <w:tr>
        <w:trPr>
          <w:cantSplit/>
        </w:trPr>
        <w:tc>
          <w:tcPr>
            <w:tcW w:type="dxa" w:w="5499"/>
            <w:vAlign w:val="center"/>
            <w:tcMar>
              <w:top w:w="80" w:type="dxa"/>
              <w:bottom w:w="80" w:type="dxa"/>
              <w:left w:w="95" w:type="dxa"/>
              <w:right w:w="95" w:type="dxa"/>
            </w:tcMar>
          </w:tcPr>
          <w:p>
            <w:pPr>
              <w:spacing w:after="0" w:before="0" w:line="252" w:lineRule="auto"/>
              <w:ind w:firstLine="0"/>
              <w:jc w:val="left"/>
            </w:pPr>
            <w:r>
              <w:rPr>
                <w:rFonts w:ascii="Times New Roman" w:hAnsi="Times New Roman" w:eastAsia="Times New Roman" w:cs="Times New Roman"/>
                <w:color w:val="000000"/>
                <w:sz w:val="22"/>
              </w:rPr>
              <w:t>Обучение без целей, затрагивающих 2020–2021</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0,872</w:t>
            </w:r>
          </w:p>
        </w:tc>
        <w:tc>
          <w:tcPr>
            <w:tcW w:type="dxa" w:w="1928"/>
            <w:vAlign w:val="center"/>
            <w:tcMar>
              <w:top w:w="80" w:type="dxa"/>
              <w:bottom w:w="80" w:type="dxa"/>
              <w:left w:w="95" w:type="dxa"/>
              <w:right w:w="95" w:type="dxa"/>
            </w:tcMar>
          </w:tcPr>
          <w:p>
            <w:pPr>
              <w:spacing w:after="0" w:before="0" w:line="252" w:lineRule="auto"/>
              <w:ind w:firstLine="0"/>
              <w:jc w:val="center"/>
            </w:pPr>
            <w:r>
              <w:rPr>
                <w:rFonts w:ascii="Times New Roman" w:hAnsi="Times New Roman" w:eastAsia="Times New Roman" w:cs="Times New Roman"/>
                <w:color w:val="000000"/>
                <w:sz w:val="22"/>
              </w:rPr>
              <w:t>1,060</w:t>
            </w:r>
          </w:p>
        </w:tc>
      </w:tr>
    </w:tbl>
    <w:p>
      <w:pPr>
        <w:spacing w:after="40" w:before="0" w:lineRule="exact" w:line="60"/>
        <w:ind w:firstLine="0"/>
      </w:pPr>
      <w:r>
        <w:rPr>
          <w:rFonts w:ascii="Times New Roman" w:hAnsi="Times New Roman" w:eastAsia="Times New Roman" w:cs="Times New Roman"/>
          <w:color w:val="000000"/>
          <w:sz w:val="4"/>
        </w:rPr>
      </w:r>
    </w:p>
    <w:p>
      <w:pPr>
        <w:widowControl/>
        <w:jc w:val="both"/>
      </w:pPr>
      <w:r>
        <w:rPr>
          <w:rFonts w:ascii="Times New Roman" w:hAnsi="Times New Roman" w:eastAsia="Times New Roman" w:cs="Times New Roman"/>
          <w:color w:val="000000"/>
        </w:rPr>
        <w:t>Около 75,6% суммарного выигрыша NFCI над BASE приходится на прогнозную дату 2020Q4. На ней BASE прогнозирует десятый процентиль роста около +34,8%, NFCI — +20,2%, фактический исход равен +3,5% в годовом логарифмическом выражении. Обе регрессии дают слишком оптимистичный нижний квантиль. Выигрыш NFCI связан с меньшей ошибкой необычной экстраполяции после резкого восстановительного роста; его нельзя автоматически считать прямым американским финансовым сигналом.</w:t>
      </w:r>
    </w:p>
    <w:p>
      <w:pPr>
        <w:widowControl/>
        <w:jc w:val="both"/>
      </w:pPr>
      <w:r>
        <w:rPr>
          <w:rFonts w:ascii="Times New Roman" w:hAnsi="Times New Roman" w:eastAsia="Times New Roman" w:cs="Times New Roman"/>
          <w:color w:val="000000"/>
        </w:rPr>
        <w:t>При исключении только этой даты из подсчёта потерь, без переобучения, выигрыш NFCI над BASE сокращается до 5,2%. Если при сохранённых коэффициентах ограничить регрессор роста диапазоном обучающей выборки и оставить все прогнозные даты, выигрыш сокращается примерно до 4,0%. Это две разные диагностики: первая меняет оценку потерь, вторая — подставляемое значение экстремального регрессора. Наблюдение сохраняется в основной модели.</w:t>
      </w:r>
    </w:p>
    <w:p>
      <w:pPr>
        <w:widowControl/>
        <w:jc w:val="both"/>
      </w:pPr>
      <w:r>
        <w:rPr>
          <w:rFonts w:ascii="Times New Roman" w:hAnsi="Times New Roman" w:eastAsia="Times New Roman" w:cs="Times New Roman"/>
          <w:color w:val="000000"/>
        </w:rPr>
        <w:t>Дополнительно выполнено переобучение с исключением обучающих пар, чьи целевые интервалы затрагивают 2020Q1–2021Q4. Все даты оценки сохранены, включая экстремальные исходы. Рассчитано 615 новых прогнозов для пяти моделей и двух горизонтов. На h=1 NFCI улучшает BASE на 12,8%, но уступает HIST на 6,0%; на h=4 уступает BASE на 33,4% и HIST на 38,2%. Проверка показывает влияние состава обучения, а не формирует новую основную выборку.</w:t>
      </w:r>
    </w:p>
    <w:p>
      <w:pPr>
        <w:widowControl/>
        <w:jc w:val="both"/>
      </w:pPr>
      <w:r>
        <w:rPr>
          <w:rFonts w:ascii="Times New Roman" w:hAnsi="Times New Roman" w:eastAsia="Times New Roman" w:cs="Times New Roman"/>
          <w:color w:val="000000"/>
        </w:rPr>
        <w:t>В основной схеме HIST сохраняет наименьшую среднюю потерю при каждом из 63 поочерёдных удалений одной даты оценки на h=1. На h=4 это выполняется в 58 случаях из 60. Это устойчивость ранжирования среди пяти рассматриваемых моделей, а не доказательство универсальной оптимальности HIST.</w:t>
      </w:r>
    </w:p>
    <w:p>
      <w:pPr>
        <w:widowControl/>
        <w:jc w:val="both"/>
      </w:pPr>
      <w:r>
        <w:rPr>
          <w:rFonts w:ascii="Times New Roman" w:hAnsi="Times New Roman" w:eastAsia="Times New Roman" w:cs="Times New Roman"/>
          <w:color w:val="000000"/>
        </w:rPr>
        <w:t>При скользящем окне 52 пары приближённое HAC-сравнение потерь NFCI и BASE даёт p=0,246; после поправки Холма на четыре сравнения основного горизонта p=0,739. Интервал разности средних потерь при четырёх лагах составляет от −0,929 до +0,238. Восемь лагов не меняют вывода. Статистически убедительного выигрыша эта проверка не устанавливает и равенства моделей не доказывает. Малый объём выборки и проведённый после получения результатов набор проверок ограничивают силу вывода.</w:t>
      </w:r>
    </w:p>
    <w:p>
      <w:pPr>
        <w:pStyle w:val="Heading1"/>
      </w:pPr>
      <w:r>
        <w:rPr>
          <w:rFonts w:ascii="Times New Roman" w:hAnsi="Times New Roman" w:eastAsia="Times New Roman" w:cs="Times New Roman"/>
          <w:color w:val="000000"/>
        </w:rPr>
        <w:t>7 Как интерпретировать 2022–2025 годы</w:t>
      </w:r>
    </w:p>
    <w:p>
      <w:pPr>
        <w:widowControl/>
        <w:jc w:val="both"/>
      </w:pPr>
      <w:r>
        <w:rPr>
          <w:rFonts w:ascii="Times New Roman" w:hAnsi="Times New Roman" w:eastAsia="Times New Roman" w:cs="Times New Roman"/>
          <w:color w:val="000000"/>
        </w:rPr>
        <w:t>Этот период рассматриваю как дополнительный эпизод после изменения макрофинансовой среды, а не как самостоятельное подтверждение превосходства. На h=1 имеется 16 прогнозов: потеря NFCI равна 0,1754, BASE — 0,2438, HIST — 0,2211. Отношения NFCI к BASE и HIST составляют 0,720 и 0,793. На h=4 имеется только 13 прогнозов, соответствующие отношения — 0,814 и 0,913.</w:t>
      </w:r>
    </w:p>
    <w:p>
      <w:pPr>
        <w:widowControl/>
        <w:jc w:val="both"/>
      </w:pPr>
      <w:r>
        <w:rPr>
          <w:rFonts w:ascii="Times New Roman" w:hAnsi="Times New Roman" w:eastAsia="Times New Roman" w:cs="Times New Roman"/>
          <w:color w:val="000000"/>
        </w:rPr>
        <w:t>Для оценки чувствительности выполнена описательная круговая блочная перевыборка уже рассчитанных потерь: 5000 повторений, блоки длиной четыре и восемь кварталов. При блоке четыре 95-процентный описательный интервал отношения NFCI к BASE на h=1 составляет 0,468–1,233, к HIST — 0,604–1,032. На h=4 интервалы ещё шире. В них входит отсутствие выигрыша. Поскольку подпериод выбран после наблюдения результатов, выборка мала и модели внутри перевыборки не переоцениваются, эти интервалы не являются формальным доказательством значимости или условной калибровки.</w:t>
      </w:r>
    </w:p>
    <w:p>
      <w:pPr>
        <w:widowControl/>
        <w:jc w:val="both"/>
      </w:pPr>
      <w:r>
        <w:rPr>
          <w:rFonts w:ascii="Times New Roman" w:hAnsi="Times New Roman" w:eastAsia="Times New Roman" w:cs="Times New Roman"/>
          <w:color w:val="000000"/>
        </w:rPr>
        <w:t>Пандемия не является центральным предметом работы. Она входит в общую выборку и используется для проверки того, как модель ведёт себя на резких изменениях роста. Период 2022–2025 также не объявляется единственным правильным режимом; установить структурный перелом или стабильный международный канал по этим коротким эпизодам нельзя.</w:t>
      </w:r>
    </w:p>
    <w:p>
      <w:pPr>
        <w:pStyle w:val="Heading1"/>
      </w:pPr>
      <w:r>
        <w:rPr>
          <w:rFonts w:ascii="Times New Roman" w:hAnsi="Times New Roman" w:eastAsia="Times New Roman" w:cs="Times New Roman"/>
          <w:color w:val="000000"/>
        </w:rPr>
        <w:t>8 Ближайшая литература и собственный вклад</w:t>
      </w:r>
    </w:p>
    <w:p>
      <w:pPr>
        <w:widowControl/>
        <w:jc w:val="both"/>
      </w:pPr>
      <w:r>
        <w:rPr>
          <w:rFonts w:ascii="Times New Roman" w:hAnsi="Times New Roman" w:eastAsia="Times New Roman" w:cs="Times New Roman"/>
          <w:color w:val="000000"/>
        </w:rPr>
        <w:t>В реестре теперь 38 уникальных работ. Для 31 сохранены PDF полных версий, включая рабочие версии журнальных статей, для одной — полный официальный HTML. Ещё шесть работ остаются разобранными по доступным аннотациям и материалам. Получение файла, содержательный разбор и независимая репликация не считаются одним и тем же. Новый поиск выполнен через Consensus и Undermind с проверкой первичных источников; Scite на этом этапе не предоставил результаты из-за ограничения доступа.</w:t>
      </w:r>
    </w:p>
    <w:p>
      <w:pPr>
        <w:widowControl/>
        <w:jc w:val="both"/>
      </w:pPr>
      <w:r>
        <w:rPr>
          <w:rFonts w:ascii="Times New Roman" w:hAnsi="Times New Roman" w:eastAsia="Times New Roman" w:cs="Times New Roman"/>
          <w:color w:val="000000"/>
        </w:rPr>
        <w:t>Adrian, Boyarchenko и Giannone [6] дают исходную рамку Growth-at-Risk. Figueres и Jarociński [7] уже исследуют финансовые условия и риски роста еврозоны, а Szendrei и Varga [8] рассматривают выбор переменных для разных частей распределения. Поэтому применение квантильной регрессии к еврозоне само по себе не является новым результатом.</w:t>
      </w:r>
    </w:p>
    <w:p>
      <w:pPr>
        <w:widowControl/>
        <w:jc w:val="both"/>
      </w:pPr>
      <w:r>
        <w:rPr>
          <w:rFonts w:ascii="Times New Roman" w:hAnsi="Times New Roman" w:eastAsia="Times New Roman" w:cs="Times New Roman"/>
          <w:color w:val="000000"/>
        </w:rPr>
        <w:t>Особенно близка работа Plaasch и Röthig [9] для Германии: американский NFCI используется вместе с внутренним стрессом, настроениями и динамикой ВВП. Мой вклад нельзя формулировать как первое включение американского NFCI в европейскую модель. Уточнение состоит в фиксированном агрегате EA20, отдельном сопоставлении NFCI и CISS США в одном дизайне, общих простых ориентирах и диагностике нестабильности дополнительной информации.</w:t>
      </w:r>
    </w:p>
    <w:p>
      <w:pPr>
        <w:widowControl/>
        <w:jc w:val="both"/>
      </w:pPr>
      <w:r>
        <w:rPr>
          <w:rFonts w:ascii="Times New Roman" w:hAnsi="Times New Roman" w:eastAsia="Times New Roman" w:cs="Times New Roman"/>
          <w:color w:val="000000"/>
        </w:rPr>
        <w:t>Amburgey и McCracken [10] показывают значение исторических версий финансовых индексов. Частичная проверка NFCI в моей работе отвечает на более узкий вопрос и не достигает полноты их дизайна. Plagborg-Møller и соавторы [11] дают основание для критической оценки самостоятельного финансового сигнала и обязательного сравнения с простыми прогнозами. Chavleishvili и Kremer [13] нужны для корректного описания именно обновлённой версии CISS.</w:t>
      </w:r>
    </w:p>
    <w:p>
      <w:pPr>
        <w:widowControl/>
        <w:jc w:val="both"/>
      </w:pPr>
      <w:r>
        <w:rPr>
          <w:rFonts w:ascii="Times New Roman" w:hAnsi="Times New Roman" w:eastAsia="Times New Roman" w:cs="Times New Roman"/>
          <w:color w:val="000000"/>
        </w:rPr>
        <w:t>Собственный вклад формулирую так: на одном квартальном наборе и одинаковых прогнозных датах сопоставляется добавочная информативность двух американских индикаторов после европейских контролей; отдельно проверяется, сохраняется ли результат при простых ориентирах, изменении горизонта и окна, экстремальном росте и исторических версиях NFCI. Самостоятельный результат — документирование условий и ограниченной устойчивости выигрыша. Новизна прикладная и умеренная. Полного отсутствия идентичной публикации я не утверждаю.</w:t>
      </w:r>
    </w:p>
    <w:p>
      <w:pPr>
        <w:pStyle w:val="Heading1"/>
      </w:pPr>
      <w:r>
        <w:rPr>
          <w:rFonts w:ascii="Times New Roman" w:hAnsi="Times New Roman" w:eastAsia="Times New Roman" w:cs="Times New Roman"/>
          <w:color w:val="000000"/>
        </w:rPr>
        <w:t>9 Предлагаемая структура диплома</w:t>
      </w:r>
    </w:p>
    <w:p>
      <w:pPr>
        <w:widowControl/>
        <w:jc w:val="both"/>
      </w:pPr>
      <w:r>
        <w:rPr>
          <w:rFonts w:ascii="Times New Roman" w:hAnsi="Times New Roman" w:eastAsia="Times New Roman" w:cs="Times New Roman"/>
          <w:color w:val="000000"/>
        </w:rPr>
        <w:t>Введение. Международная финансовая взаимозависимость, исследовательский вопрос, объект и предмет, цель и задачи. Две отдельные гипотезы: улучшение европейской регрессии и превосходство над простыми прогнозами. Данные, метод, умеренная новизна и ретроспективность исследования.</w:t>
      </w:r>
    </w:p>
    <w:p>
      <w:pPr>
        <w:widowControl/>
        <w:jc w:val="both"/>
      </w:pPr>
      <w:r>
        <w:rPr>
          <w:rFonts w:ascii="Times New Roman" w:hAnsi="Times New Roman" w:eastAsia="Times New Roman" w:cs="Times New Roman"/>
          <w:color w:val="000000"/>
        </w:rPr>
        <w:t>Глава 1 Теоретические основы международной связи финансовых условий и рисков роста. В разделе 1.1 — роль США и доллара, глобальный риск и финансовая интеграция. В 1.2 — банковские и портфельные потоки, стоимость финансирования и переход к инвестициям и неблагоприятным исходам роста; альтернативные объяснения совместного движения. В 1.3 — различия финансовых условий и стресса, NFCI и New CISS, литература по GaR и формулировка проверяемых гипотез. Международный механизм предшествует эконометрическому инструментарию.</w:t>
      </w:r>
    </w:p>
    <w:p>
      <w:pPr>
        <w:widowControl/>
        <w:jc w:val="both"/>
      </w:pPr>
      <w:r>
        <w:rPr>
          <w:rFonts w:ascii="Times New Roman" w:hAnsi="Times New Roman" w:eastAsia="Times New Roman" w:cs="Times New Roman"/>
          <w:color w:val="000000"/>
        </w:rPr>
        <w:t>Глава 2 Эмпирическая оценка дополнительной прогнозной информации США. В разделе 2.1 — источники, преобразования, EA20 и U2, календарь и версии. В 2.2 — квантильная модель, одинаковые правила обучения, центральные сравнения HIST, AR, BASE и двух американских расширений. В 2.3 — калибровка, неопределённость, окна, экстремальные даты, изменение обучающих целей, версии NFCI и осторожный анализ 2022–2025 годов. При интерпретации рассматриваются общий риск, дублирование европейского сигнала и различия состава индексов; причинные каналы не объявляются оценёнными.</w:t>
      </w:r>
    </w:p>
    <w:p>
      <w:pPr>
        <w:widowControl/>
        <w:jc w:val="both"/>
      </w:pPr>
      <w:r>
        <w:rPr>
          <w:rFonts w:ascii="Times New Roman" w:hAnsi="Times New Roman" w:eastAsia="Times New Roman" w:cs="Times New Roman"/>
          <w:color w:val="000000"/>
        </w:rPr>
        <w:t>Глава 3 Рекомендации по учёту международных финансовых индикаторов в мониторинге рисков. В разделе 3.1 — условия включения иностранного показателя и обязательные простые ориентиры. В 3.2 — контроль экстраполяции, календаря, пересмотров и ухудшения калибровки. В 3.3 — требования к полноценному эксперименту в реальном времени и дальнейшему исследованию трансграничных потоков. Рекомендации относятся к организации анализа внешних рисков; по этим регрессиям не обосновывается конкретное изменение ставки ЕЦБ.</w:t>
      </w:r>
    </w:p>
    <w:p>
      <w:pPr>
        <w:widowControl/>
        <w:jc w:val="both"/>
      </w:pPr>
      <w:r>
        <w:rPr>
          <w:rFonts w:ascii="Times New Roman" w:hAnsi="Times New Roman" w:eastAsia="Times New Roman" w:cs="Times New Roman"/>
          <w:color w:val="000000"/>
        </w:rPr>
        <w:t>Заключение. Раздельный ответ по дополнительной информации и превосходству, экономическая интерпретация и границы применимости. Список источников. Приложения: все прогнозные даты, календарь обучения, данные, полные результаты моделей, диагностики, манифест исторических версий NFCI и код.</w:t>
      </w:r>
    </w:p>
    <w:p>
      <w:pPr>
        <w:pStyle w:val="Heading1"/>
      </w:pPr>
      <w:r>
        <w:rPr>
          <w:rFonts w:ascii="Times New Roman" w:hAnsi="Times New Roman" w:eastAsia="Times New Roman" w:cs="Times New Roman"/>
          <w:color w:val="000000"/>
        </w:rPr>
        <w:t>10 Итог по пяти замечаниям</w:t>
      </w:r>
    </w:p>
    <w:p>
      <w:pPr>
        <w:widowControl/>
        <w:jc w:val="both"/>
      </w:pPr>
      <w:r>
        <w:rPr>
          <w:rFonts w:ascii="Times New Roman" w:hAnsi="Times New Roman" w:eastAsia="Times New Roman" w:cs="Times New Roman"/>
          <w:color w:val="000000"/>
        </w:rPr>
        <w:t>Первое замечание: международный механизм раскрыт через риск, банковское фондирование, портфельные потоки и валютный канал; для каждого показано, что обосновывает литература и что измеряет собственная модель. Второе: календарь ВВП и ESI подтверждён по всем датам, восстановлены версии NFCI; полного набора исторических значений всех переменных нет. Это остаётся ограничением постановки, а не закрытым техническим вопросом.</w:t>
      </w:r>
    </w:p>
    <w:p>
      <w:pPr>
        <w:widowControl/>
        <w:jc w:val="both"/>
      </w:pPr>
      <w:r>
        <w:rPr>
          <w:rFonts w:ascii="Times New Roman" w:hAnsi="Times New Roman" w:eastAsia="Times New Roman" w:cs="Times New Roman"/>
          <w:color w:val="000000"/>
        </w:rPr>
        <w:t>Третье: HIST и AR включены в центральные таблицы, выигрыш над BASE отделён от практического превосходства. Четвёртое: выполнены проверки отдельных дат, экстраполяции, исключения пандемийных целей из обучения и неопределённости короткого подпериода. Пятое: вклад ограничен честным сравнением двух индикаторов и устойчивости добавочной информативности; причинная новизна не заявляется.</w:t>
      </w:r>
    </w:p>
    <w:p>
      <w:pPr>
        <w:widowControl/>
        <w:jc w:val="both"/>
      </w:pPr>
      <w:r>
        <w:rPr>
          <w:rFonts w:ascii="Times New Roman" w:hAnsi="Times New Roman" w:eastAsia="Times New Roman" w:cs="Times New Roman"/>
          <w:color w:val="000000"/>
        </w:rPr>
        <w:t>Считаю, что полученных материалов достаточно для написания диплома в ретроспективной сравнительной постановке. Если обязательным условием является полностью воспроизведённый исторический информационный набор, текущая версия этому условию не соответствует. В таком случае необходимо отдельно менять состав данных и дизайн, а не продолжать поиск значимого превосходства в прежних регрессиях. Полноценные главы на этом этапе не написаны.</w:t>
      </w:r>
    </w:p>
    <w:p>
      <w:pPr>
        <w:pStyle w:val="Heading1"/>
      </w:pPr>
      <w:r>
        <w:rPr>
          <w:rFonts w:ascii="Times New Roman" w:hAnsi="Times New Roman" w:eastAsia="Times New Roman" w:cs="Times New Roman"/>
          <w:color w:val="000000"/>
        </w:rPr>
        <w:t>Основные научные источники</w:t>
      </w:r>
    </w:p>
    <w:p>
      <w:pPr>
        <w:widowControl/>
        <w:spacing w:after="70"/>
        <w:ind w:firstLine="0"/>
        <w:jc w:val="left"/>
      </w:pPr>
      <w:r>
        <w:rPr>
          <w:rFonts w:ascii="Times New Roman" w:hAnsi="Times New Roman" w:eastAsia="Times New Roman" w:cs="Times New Roman"/>
          <w:color w:val="000000"/>
          <w:sz w:val="21"/>
        </w:rPr>
        <w:t xml:space="preserve">[1] Miranda-Agrippino S., Rey H. U.S. Monetary Policy and the Global Financial Cycle. Review of Economic Studies, 2020, 87(6), 2754–2776. В проекте рабочая версия NBER 21722, редакция марта 2019 года. </w:t>
      </w:r>
      <w:hyperlink r:id="rId9">
        <w:r>
          <w:rPr>
            <w:rFonts w:ascii="Times New Roman" w:hAnsi="Times New Roman" w:eastAsia="Times New Roman"/>
            <w:color w:val="000000"/>
            <w:sz w:val="21"/>
          </w:rPr>
          <w:t>https://doi.org/10.1093/restud/rdaa019</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[2] Bruno V., Shin H. S. Cross-Border Banking and Global Liquidity. Review of Economic Studies, 2015, 82(2), 535–564. В проекте BIS Working Paper 458, август 2014 года. </w:t>
      </w:r>
      <w:hyperlink r:id="rId10">
        <w:r>
          <w:rPr>
            <w:rFonts w:ascii="Times New Roman" w:hAnsi="Times New Roman" w:eastAsia="Times New Roman"/>
            <w:color w:val="000000"/>
            <w:sz w:val="21"/>
          </w:rPr>
          <w:t>https://www.bis.org/publications/working-paper-458-cross-border-banking-and-global-liquidity.pdf</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[3] Habib M. M., Venditti F. The global financial cycle: implications for the global economy and the euro area. ECB Economic Bulletin, 6/2018. </w:t>
      </w:r>
      <w:hyperlink r:id="rId11">
        <w:r>
          <w:rPr>
            <w:rFonts w:ascii="Times New Roman" w:hAnsi="Times New Roman" w:eastAsia="Times New Roman"/>
            <w:color w:val="000000"/>
            <w:sz w:val="21"/>
          </w:rPr>
          <w:t>https://www.ecb.europa.eu/press/economic-bulletin/articles/2018/html/ecb.ebart201806_01.en.html</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[4] Kaufmann C. Investment funds, monetary policy, and the global financial cycle. ECB Working Paper 2489, 2020, редакция декабря 2022 года. </w:t>
      </w:r>
      <w:hyperlink r:id="rId12">
        <w:r>
          <w:rPr>
            <w:rFonts w:ascii="Times New Roman" w:hAnsi="Times New Roman" w:eastAsia="Times New Roman"/>
            <w:color w:val="000000"/>
            <w:sz w:val="21"/>
          </w:rPr>
          <w:t>https://www.ecb.europa.eu/pub/pdf/scpwps/ecb.wp2489~26b7eca600.en.pdf</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[5] Brandt L., Saint Guilhem A., Schröder M., Van Robays I. What drives euro area financial markets? The role of US spillovers and global risk. ECB Working Paper 2560, 2021, редакция марта 2026 года. </w:t>
      </w:r>
      <w:hyperlink r:id="rId13">
        <w:r>
          <w:rPr>
            <w:rFonts w:ascii="Times New Roman" w:hAnsi="Times New Roman" w:eastAsia="Times New Roman"/>
            <w:color w:val="000000"/>
            <w:sz w:val="21"/>
          </w:rPr>
          <w:t>https://www.ecb.europa.eu/pub/pdf/scpwps/ecb.wp2560~f98f3c7d78.en.pdf</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[6] Adrian T., Boyarchenko N., Giannone D. Vulnerable Growth. American Economic Review, 2019. </w:t>
      </w:r>
      <w:hyperlink r:id="rId14">
        <w:r>
          <w:rPr>
            <w:rFonts w:ascii="Times New Roman" w:hAnsi="Times New Roman" w:eastAsia="Times New Roman"/>
            <w:color w:val="000000"/>
            <w:sz w:val="21"/>
          </w:rPr>
          <w:t>https://doi.org/10.1257/aer.20161923</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[7] Figueres J. M., Jarociński M. Vulnerable Growth in the Euro Area: Measuring the Financial Conditions. Economics Letters, 2020; ECB Working Paper 2458. </w:t>
      </w:r>
      <w:hyperlink r:id="rId15">
        <w:r>
          <w:rPr>
            <w:rFonts w:ascii="Times New Roman" w:hAnsi="Times New Roman" w:eastAsia="Times New Roman"/>
            <w:color w:val="000000"/>
            <w:sz w:val="21"/>
          </w:rPr>
          <w:t>https://doi.org/10.1016/j.econlet.2020.109126</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[8] Szendrei T., Varga K. Revisiting Vulnerable Growth in the Euro Area: Identifying the Role of Financial Conditions in the Distribution. Economics Letters, 2023. </w:t>
      </w:r>
      <w:hyperlink r:id="rId16">
        <w:r>
          <w:rPr>
            <w:rFonts w:ascii="Times New Roman" w:hAnsi="Times New Roman" w:eastAsia="Times New Roman"/>
            <w:color w:val="000000"/>
            <w:sz w:val="21"/>
          </w:rPr>
          <w:t>https://doi.org/10.1016/j.econlet.2023.110990</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[9] Plaasch J., Röthig A. A Growth-at-Risk Model for the German Economy. Deutsche Bundesbank Technical Paper 05/2025. </w:t>
      </w:r>
      <w:hyperlink r:id="rId17">
        <w:r>
          <w:rPr>
            <w:rFonts w:ascii="Times New Roman" w:hAnsi="Times New Roman" w:eastAsia="Times New Roman"/>
            <w:color w:val="000000"/>
            <w:sz w:val="21"/>
          </w:rPr>
          <w:t>https://www.bundesbank.de/en/publications/reports/technical-papers/a-growth-at-risk-model-for-the-german-economy-971962</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[10] Amburgey A. J., McCracken M. W. On the Real-Time Predictive Content of Financial Condition Indices for Growth. Journal of Applied Econometrics, 2023. </w:t>
      </w:r>
      <w:hyperlink r:id="rId18">
        <w:r>
          <w:rPr>
            <w:rFonts w:ascii="Times New Roman" w:hAnsi="Times New Roman" w:eastAsia="Times New Roman"/>
            <w:color w:val="000000"/>
            <w:sz w:val="21"/>
          </w:rPr>
          <w:t>https://doi.org/10.1002/jae.2943</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[11] Plagborg-Møller M., Reichlin L., Ricco G., Hasenzagl T. When Is Growth at Risk? Brookings Papers on Economic Activity, 2020. </w:t>
      </w:r>
      <w:hyperlink r:id="rId19">
        <w:r>
          <w:rPr>
            <w:rFonts w:ascii="Times New Roman" w:hAnsi="Times New Roman" w:eastAsia="Times New Roman"/>
            <w:color w:val="000000"/>
            <w:sz w:val="21"/>
          </w:rPr>
          <w:t>https://doi.org/10.1353/eca.2020.0002</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[12] Corradi V., Fosten J., Gutknecht D. Out-of-Sample Tests for Conditional Quantile Coverage: An Application to Growth-at-Risk. Journal of Econometrics, 2023. </w:t>
      </w:r>
      <w:hyperlink r:id="rId20">
        <w:r>
          <w:rPr>
            <w:rFonts w:ascii="Times New Roman" w:hAnsi="Times New Roman" w:eastAsia="Times New Roman"/>
            <w:color w:val="000000"/>
            <w:sz w:val="21"/>
          </w:rPr>
          <w:t>https://doi.org/10.1016/j.jeconom.2023.105490</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[13] Chavleishvili S., Kremer M. Measuring Systemic Financial Stress and Its Risks for Growth. ECB Working Paper 2842, 2023. </w:t>
      </w:r>
      <w:hyperlink r:id="rId21">
        <w:r>
          <w:rPr>
            <w:rFonts w:ascii="Times New Roman" w:hAnsi="Times New Roman" w:eastAsia="Times New Roman"/>
            <w:color w:val="000000"/>
            <w:sz w:val="21"/>
          </w:rPr>
          <w:t>https://www.ecb.europa.eu/pub/pdf/scpwps/ecb.wp2842~9a4cb3f225.en.pdf</w:t>
        </w:r>
      </w:hyperlink>
      <w:r>
        <w:rPr>
          <w:rFonts w:ascii="Times New Roman" w:hAnsi="Times New Roman" w:eastAsia="Times New Roman" w:cs="Times New Roman"/>
          <w:color w:val="000000"/>
          <w:sz w:val="21"/>
        </w:rPr>
      </w:r>
    </w:p>
    <w:p>
      <w:pPr>
        <w:pStyle w:val="Heading1"/>
      </w:pPr>
      <w:r>
        <w:rPr>
          <w:rFonts w:ascii="Times New Roman" w:hAnsi="Times New Roman" w:eastAsia="Times New Roman" w:cs="Times New Roman"/>
          <w:color w:val="000000"/>
        </w:rPr>
        <w:t>Основные источники данных и календаря</w:t>
      </w:r>
    </w:p>
    <w:p>
      <w:pPr>
        <w:widowControl/>
        <w:spacing w:after="70"/>
        <w:ind w:firstLine="0"/>
        <w:jc w:val="left"/>
      </w:pPr>
      <w:r>
        <w:rPr>
          <w:rFonts w:ascii="Times New Roman" w:hAnsi="Times New Roman" w:eastAsia="Times New Roman" w:cs="Times New Roman"/>
          <w:color w:val="000000"/>
          <w:sz w:val="21"/>
        </w:rPr>
        <w:t xml:space="preserve">[Д1] Eurostat. Quarterly GDP, namq_10_gdp. </w:t>
      </w:r>
      <w:hyperlink r:id="rId22">
        <w:r>
          <w:rPr>
            <w:rFonts w:ascii="Times New Roman" w:hAnsi="Times New Roman" w:eastAsia="Times New Roman"/>
            <w:color w:val="000000"/>
            <w:sz w:val="21"/>
          </w:rPr>
          <w:t>https://ec.europa.eu/eurostat/databrowser/view/namq_10_gdp/default/table</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[Д2] Eurostat. ESI, ei_bssi_m_r2. </w:t>
      </w:r>
      <w:hyperlink r:id="rId23">
        <w:r>
          <w:rPr>
            <w:rFonts w:ascii="Times New Roman" w:hAnsi="Times New Roman" w:eastAsia="Times New Roman"/>
            <w:color w:val="000000"/>
            <w:sz w:val="21"/>
          </w:rPr>
          <w:t>https://ec.europa.eu/eurostat/databrowser/view/ei_bssi_m_r2/default/table</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[Д3] European Commission. Архив выпусков обследований бизнеса и потребителей. </w:t>
      </w:r>
      <w:hyperlink r:id="rId24">
        <w:r>
          <w:rPr>
            <w:rFonts w:ascii="Times New Roman" w:hAnsi="Times New Roman" w:eastAsia="Times New Roman"/>
            <w:color w:val="000000"/>
            <w:sz w:val="21"/>
          </w:rPr>
          <w:t>https://economy-finance.ec.europa.eu/economic-forecast-and-surveys/business-and-consumer-surveys/download-business-and-consumer-survey-data/press-releases_en</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[Д4] ECB. CISS и метаданные. </w:t>
      </w:r>
      <w:hyperlink r:id="rId25">
        <w:r>
          <w:rPr>
            <w:rFonts w:ascii="Times New Roman" w:hAnsi="Times New Roman" w:eastAsia="Times New Roman"/>
            <w:color w:val="000000"/>
            <w:sz w:val="21"/>
          </w:rPr>
          <w:t>https://data.ecb.europa.eu/data/datasets/ciss/data-information</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[Д5] Chicago Fed. Объявление начала публикации NFCI от 5 апреля 2011 года. </w:t>
      </w:r>
      <w:hyperlink r:id="rId26">
        <w:r>
          <w:rPr>
            <w:rFonts w:ascii="Times New Roman" w:hAnsi="Times New Roman" w:eastAsia="Times New Roman"/>
            <w:color w:val="000000"/>
            <w:sz w:val="21"/>
          </w:rPr>
          <w:t>https://www.chicagofed.org/utilities/newsroom/news-releases/2011/04-05-nfci-release</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[Д6] FRED и ALFRED. NFCI и исторические версии. </w:t>
      </w:r>
      <w:hyperlink r:id="rId27">
        <w:r>
          <w:rPr>
            <w:rFonts w:ascii="Times New Roman" w:hAnsi="Times New Roman" w:eastAsia="Times New Roman"/>
            <w:color w:val="000000"/>
            <w:sz w:val="21"/>
          </w:rPr>
          <w:t>https://fred.stlouisfed.org/series/NFCI</w:t>
        </w:r>
      </w:hyperlink>
      <w:r>
        <w:rPr>
          <w:rFonts w:ascii="Times New Roman" w:hAnsi="Times New Roman" w:eastAsia="Times New Roman" w:cs="Times New Roman"/>
          <w:color w:val="000000"/>
          <w:sz w:val="21"/>
        </w:rPr>
        <w:t xml:space="preserve"> ; </w:t>
      </w:r>
      <w:hyperlink r:id="rId28">
        <w:r>
          <w:rPr>
            <w:rFonts w:ascii="Times New Roman" w:hAnsi="Times New Roman" w:eastAsia="Times New Roman"/>
            <w:color w:val="000000"/>
            <w:sz w:val="21"/>
          </w:rPr>
          <w:t>https://alfred.stlouisfed.org/series?seid=NFCI</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[Д7] ECB. Financial Stability Review May 2020, chart 2.3. </w:t>
      </w:r>
      <w:hyperlink r:id="rId29">
        <w:r>
          <w:rPr>
            <w:rFonts w:ascii="Times New Roman" w:hAnsi="Times New Roman" w:eastAsia="Times New Roman"/>
            <w:color w:val="000000"/>
            <w:sz w:val="21"/>
          </w:rPr>
          <w:t>https://www.ecb.europa.eu/press/financial-stability-publications/fsr/html/ecb.fsr202005~1b75555f66.en.html</w:t>
        </w:r>
      </w:hyperlink>
      <w:r>
        <w:rPr>
          <w:rFonts w:ascii="Times New Roman" w:hAnsi="Times New Roman" w:eastAsia="Times New Roman" w:cs="Times New Roman"/>
          <w:color w:val="000000"/>
          <w:sz w:val="21"/>
        </w:rPr>
      </w:r>
    </w:p>
    <w:p>
      <w:pPr>
        <w:widowControl/>
        <w:spacing w:after="70"/>
        <w:ind w:firstLine="0"/>
        <w:jc w:val="left"/>
      </w:pPr>
      <w:r>
        <w:rPr>
          <w:rFonts w:ascii="Times New Roman" w:hAnsi="Times New Roman" w:eastAsia="Times New Roman" w:cs="Times New Roman"/>
          <w:color w:val="000000"/>
          <w:sz w:val="21"/>
        </w:rPr>
        <w:t xml:space="preserve">[Д8] Eurostat. Квартальные национальные счета и политика пересмотров. </w:t>
      </w:r>
      <w:hyperlink r:id="rId30">
        <w:r>
          <w:rPr>
            <w:rFonts w:ascii="Times New Roman" w:hAnsi="Times New Roman" w:eastAsia="Times New Roman"/>
            <w:color w:val="000000"/>
            <w:sz w:val="21"/>
          </w:rPr>
          <w:t>https://ec.europa.eu/eurostat/cache/metadata/en/namq_10_gdp_esms.htm</w:t>
        </w:r>
      </w:hyperlink>
      <w:r>
        <w:rPr>
          <w:rFonts w:ascii="Times New Roman" w:hAnsi="Times New Roman" w:eastAsia="Times New Roman" w:cs="Times New Roman"/>
          <w:color w:val="000000"/>
          <w:sz w:val="21"/>
        </w:rPr>
      </w:r>
    </w:p>
    <w:p>
      <w:pPr>
        <w:widowControl/>
        <w:jc w:val="both"/>
      </w:pPr>
      <w:r>
        <w:rPr>
          <w:rFonts w:ascii="Times New Roman" w:hAnsi="Times New Roman" w:eastAsia="Times New Roman" w:cs="Times New Roman"/>
          <w:color w:val="000000"/>
        </w:rPr>
        <w:t>Дата проверки дополнительных источников — 15 октября 2026 года. Точные коды, локальные версии файлов, URL выпусков и контрольные суммы сохранены в приложениях проекта.</w:t>
      </w:r>
    </w:p>
    <w:sectPr w:rsidR="00FC693F" w:rsidRPr="0006063C" w:rsidSect="00034616">
      <w:headerReference w:type="default" r:id="rId31"/>
      <w:footerReference w:type="default" r:id="rId32"/>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before="0"/>
      <w:ind w:firstLine="709"/>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76" w:lineRule="auto"/>
      <w:ind w:firstLine="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ind w:firstLine="0"/>
      <w:outlineLvl w:val="1"/>
    </w:pPr>
    <w:rPr>
      <w:rFonts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76" w:lineRule="auto" w:before="0"/>
      <w:ind w:firstLine="0"/>
      <w:contextualSpacing/>
      <w:jc w:val="center"/>
    </w:pPr>
    <w:rPr>
      <w:rFonts w:cstheme="majorBidi" w:ascii="Times New Roman" w:hAnsi="Times New Roman" w:eastAsia="Times New Roman" w:cs="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00" w:line="276" w:lineRule="auto"/>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93/restud/rdaa019" TargetMode="External"/><Relationship Id="rId10" Type="http://schemas.openxmlformats.org/officeDocument/2006/relationships/hyperlink" Target="https://www.bis.org/publications/working-paper-458-cross-border-banking-and-global-liquidity.pdf" TargetMode="External"/><Relationship Id="rId11" Type="http://schemas.openxmlformats.org/officeDocument/2006/relationships/hyperlink" Target="https://www.ecb.europa.eu/press/economic-bulletin/articles/2018/html/ecb.ebart201806_01.en.html" TargetMode="External"/><Relationship Id="rId12" Type="http://schemas.openxmlformats.org/officeDocument/2006/relationships/hyperlink" Target="https://www.ecb.europa.eu/pub/pdf/scpwps/ecb.wp2489~26b7eca600.en.pdf" TargetMode="External"/><Relationship Id="rId13" Type="http://schemas.openxmlformats.org/officeDocument/2006/relationships/hyperlink" Target="https://www.ecb.europa.eu/pub/pdf/scpwps/ecb.wp2560~f98f3c7d78.en.pdf" TargetMode="External"/><Relationship Id="rId14" Type="http://schemas.openxmlformats.org/officeDocument/2006/relationships/hyperlink" Target="https://doi.org/10.1257/aer.20161923" TargetMode="External"/><Relationship Id="rId15" Type="http://schemas.openxmlformats.org/officeDocument/2006/relationships/hyperlink" Target="https://doi.org/10.1016/j.econlet.2020.109126" TargetMode="External"/><Relationship Id="rId16" Type="http://schemas.openxmlformats.org/officeDocument/2006/relationships/hyperlink" Target="https://doi.org/10.1016/j.econlet.2023.110990" TargetMode="External"/><Relationship Id="rId17" Type="http://schemas.openxmlformats.org/officeDocument/2006/relationships/hyperlink" Target="https://www.bundesbank.de/en/publications/reports/technical-papers/a-growth-at-risk-model-for-the-german-economy-971962" TargetMode="External"/><Relationship Id="rId18" Type="http://schemas.openxmlformats.org/officeDocument/2006/relationships/hyperlink" Target="https://doi.org/10.1002/jae.2943" TargetMode="External"/><Relationship Id="rId19" Type="http://schemas.openxmlformats.org/officeDocument/2006/relationships/hyperlink" Target="https://doi.org/10.1353/eca.2020.0002" TargetMode="External"/><Relationship Id="rId20" Type="http://schemas.openxmlformats.org/officeDocument/2006/relationships/hyperlink" Target="https://doi.org/10.1016/j.jeconom.2023.105490" TargetMode="External"/><Relationship Id="rId21" Type="http://schemas.openxmlformats.org/officeDocument/2006/relationships/hyperlink" Target="https://www.ecb.europa.eu/pub/pdf/scpwps/ecb.wp2842~9a4cb3f225.en.pdf" TargetMode="External"/><Relationship Id="rId22" Type="http://schemas.openxmlformats.org/officeDocument/2006/relationships/hyperlink" Target="https://ec.europa.eu/eurostat/databrowser/view/namq_10_gdp/default/table" TargetMode="External"/><Relationship Id="rId23" Type="http://schemas.openxmlformats.org/officeDocument/2006/relationships/hyperlink" Target="https://ec.europa.eu/eurostat/databrowser/view/ei_bssi_m_r2/default/table" TargetMode="External"/><Relationship Id="rId24" Type="http://schemas.openxmlformats.org/officeDocument/2006/relationships/hyperlink" Target="https://economy-finance.ec.europa.eu/economic-forecast-and-surveys/business-and-consumer-surveys/download-business-and-consumer-survey-data/press-releases_en" TargetMode="External"/><Relationship Id="rId25" Type="http://schemas.openxmlformats.org/officeDocument/2006/relationships/hyperlink" Target="https://data.ecb.europa.eu/data/datasets/ciss/data-information" TargetMode="External"/><Relationship Id="rId26" Type="http://schemas.openxmlformats.org/officeDocument/2006/relationships/hyperlink" Target="https://www.chicagofed.org/utilities/newsroom/news-releases/2011/04-05-nfci-release" TargetMode="External"/><Relationship Id="rId27" Type="http://schemas.openxmlformats.org/officeDocument/2006/relationships/hyperlink" Target="https://fred.stlouisfed.org/series/NFCI" TargetMode="External"/><Relationship Id="rId28" Type="http://schemas.openxmlformats.org/officeDocument/2006/relationships/hyperlink" Target="https://alfred.stlouisfed.org/series?seid=NFCI" TargetMode="External"/><Relationship Id="rId29" Type="http://schemas.openxmlformats.org/officeDocument/2006/relationships/hyperlink" Target="https://www.ecb.europa.eu/press/financial-stability-publications/fsr/html/ecb.fsr202005~1b75555f66.en.html" TargetMode="External"/><Relationship Id="rId30" Type="http://schemas.openxmlformats.org/officeDocument/2006/relationships/hyperlink" Target="https://ec.europa.eu/eurostat/cache/metadata/en/namq_10_gdp_esms.htm" TargetMode="External"/><Relationship Id="rId31" Type="http://schemas.openxmlformats.org/officeDocument/2006/relationships/header" Target="header1.xml"/><Relationship Id="rId3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Финансовые условия США в прогнозировании рисков роста еврозоны</dc:title>
  <dc:subject>Уточнение постановки и результаты проверки замечаний научного руководителя</dc:subject>
  <dc:creator>Рустам Чулиев</dc:creator>
  <cp:keywords/>
  <dc:description/>
  <cp:lastModifiedBy/>
  <cp:revision>1</cp:revision>
  <dcterms:created xsi:type="dcterms:W3CDTF">2013-12-23T23:15:00Z</dcterms:created>
  <dcterms:modified xsi:type="dcterms:W3CDTF">2013-12-23T23:15:00Z</dcterms:modified>
  <cp:category/>
</cp:coreProperties>
</file>