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Финансовые условия США в прогнозировании рисков роста еврозоны</w:t>
      </w:r>
    </w:p>
    <w:p>
      <w:pPr>
        <w:widowControl/>
      </w:pPr>
      <w:r>
        <w:t>Предварительная записка для научного руководителя</w:t>
        <w:br/>
        <w:t>Рустам Чулиев</w:t>
        <w:br/>
        <w:t>6 октября 2026 года</w:t>
      </w:r>
    </w:p>
    <w:p>
      <w:pPr>
        <w:keepNext/>
        <w:widowControl/>
        <w:spacing w:before="120"/>
      </w:pPr>
      <w:r>
        <w:rPr>
          <w:b/>
        </w:rPr>
        <w:t>1. Постановка исследования</w:t>
      </w:r>
    </w:p>
    <w:p>
      <w:pPr>
        <w:widowControl/>
      </w:pPr>
      <w:r>
        <w:t>Я предлагаю исследовать, дают ли финансовые условия США дополнительную информацию для прогнозирования неблагоприятных исходов роста еврозоны после учёта европейского финансового стресса и экономических настроений. На данном этапе данные собраны, модели рассчитаны и проверены. Результаты позволяют продолжать работу, однако устойчивое превосходство моделей с американскими индикаторами пока не установлено.</w:t>
      </w:r>
    </w:p>
    <w:p>
      <w:pPr>
        <w:widowControl/>
      </w:pPr>
      <w:r>
        <w:t>Основной вопрос: улучшают ли NFCI и CISS США прогноз десятого процентиля роста реального ВВП еврозоны и насколько ответ зависит от горизонта, базовой модели и экстремальных наблюдений? Экономическая мотивация связана с международным движением капитала, стоимостью финансирования и общими изменениями отношения инвесторов к риску. Регрессия проверяет прогнозную информативность, но не идентифицирует причинное влияние американских шоков.</w:t>
      </w:r>
    </w:p>
    <w:p>
      <w:pPr>
        <w:keepNext/>
        <w:widowControl/>
        <w:spacing w:before="120"/>
      </w:pPr>
      <w:r>
        <w:rPr>
          <w:b/>
        </w:rPr>
        <w:t>2. Данные и доступность</w:t>
      </w:r>
    </w:p>
    <w:p>
      <w:pPr>
        <w:widowControl/>
      </w:pPr>
      <w:r>
        <w:t>Собран квартальный набор за 1995Q1–2025Q4: 124 квартала. Источники открытые; исходные выгрузки и преобразованные ряды сохранены. Для повторения расчётов платный доступ не нужен.</w:t>
      </w:r>
    </w:p>
    <w:p>
      <w:pPr>
        <w:keepNext/>
        <w:widowControl/>
      </w:pPr>
      <w:r>
        <w:t>Реальный ВВП еврозоны — Eurostat, набор namq_10_gdp, фиксированный состав EA20. По уровню ВВП рассчитываются будущий рост и лаговый рост для регрессии. Значения до введения евро являются ретроспективным агрегатом.</w:t>
      </w:r>
    </w:p>
    <w:p>
      <w:pPr>
        <w:widowControl/>
        <w:spacing w:after="120"/>
      </w:pPr>
      <w:r>
        <w:rPr>
          <w:sz w:val="20"/>
        </w:rPr>
        <w:t>https://ec.europa.eu/eurostat/databrowser/view/namq_10_gdp/default/table</w:t>
      </w:r>
    </w:p>
    <w:p>
      <w:pPr>
        <w:keepNext/>
        <w:widowControl/>
      </w:pPr>
      <w:r>
        <w:t>Экономические настроения ESI — обследования бизнеса и потребителей Европейской комиссии, выгрузка через Eurostat: ei_bssi_m_r2, EA20, BS-ESI-I, сезонная корректировка SA. Собраны 372 месячных значения без пропусков. В модели используется среднее первых двух месяцев каждого квартала, чтобы не включать ещё не опубликованный полный индекс последнего месяца.</w:t>
      </w:r>
    </w:p>
    <w:p>
      <w:pPr>
        <w:widowControl/>
        <w:spacing w:after="120"/>
      </w:pPr>
      <w:r>
        <w:rPr>
          <w:sz w:val="20"/>
        </w:rPr>
        <w:t>https://ec.europa.eu/eurostat/databrowser/view/ei_bssi_m_r2/default/table</w:t>
      </w:r>
    </w:p>
    <w:p>
      <w:pPr>
        <w:keepNext/>
        <w:widowControl/>
      </w:pPr>
      <w:r>
        <w:t>Финансовый стресс CISS — ECB Data Portal, ежедневная версия New CISS для еврозоны и США. Коды рядов: CISS.D.U2.Z0Z.4F.EC.SS_CIN.IDX и CISS.D.US.Z0Z.4F.EC.SS_CIN.IDX. Показатель характеризует напряжённость в нескольких сегментах финансового рынка с учётом их совместного движения.</w:t>
      </w:r>
    </w:p>
    <w:p>
      <w:pPr>
        <w:widowControl/>
        <w:spacing w:after="120"/>
      </w:pPr>
      <w:r>
        <w:rPr>
          <w:sz w:val="20"/>
        </w:rPr>
        <w:t>https://data.ecb.europa.eu/data/datasets/CISS</w:t>
      </w:r>
    </w:p>
    <w:p>
      <w:pPr>
        <w:keepNext/>
        <w:widowControl/>
      </w:pPr>
      <w:r>
        <w:t>Финансовые условия США NFCI — Federal Reserve Bank of Chicago, недельный ряд через FRED. Индекс объединяет условия риска, кредита и финансового рычага; рост индекса означает ужесточение условий относительно исторической нормы. CISS и NFCI усредняются по доступным наблюдениям квартала с семидневным запасом до даты прогноза.</w:t>
      </w:r>
    </w:p>
    <w:p>
      <w:pPr>
        <w:widowControl/>
        <w:spacing w:after="120"/>
      </w:pPr>
      <w:r>
        <w:rPr>
          <w:sz w:val="20"/>
        </w:rPr>
        <w:t>https://fred.stlouisfed.org/series/NFCI</w:t>
      </w:r>
    </w:p>
    <w:p>
      <w:pPr>
        <w:widowControl/>
      </w:pPr>
      <w:r>
        <w:t>Ограничение данных: использованы пересмотренные исторические ряды, а не полный набор версий, доступных на каждую дату прогноза. Поэтому исследование является ретроспективной вневыборочной проверкой с календарными ограничениями. Кроме того, CISS еврозоны с кодом U2 отражает меняющийся состав, тогда как ВВП и ESI относятся к EA20. Это различие раскрывается как ограничение сопоставимости; его влияние отдельно не оценено.</w:t>
      </w:r>
    </w:p>
    <w:p>
      <w:pPr>
        <w:keepNext/>
        <w:widowControl/>
        <w:spacing w:before="120"/>
      </w:pPr>
      <w:r>
        <w:rPr>
          <w:b/>
        </w:rPr>
        <w:t>3. Основные исследования</w:t>
      </w:r>
    </w:p>
    <w:p>
      <w:pPr>
        <w:widowControl/>
      </w:pPr>
      <w:r>
        <w:t>В общем реестре собраны 34 работы; для 28 получены полные тексты, для шести разбор пока основан на доступных аннотациях и материалах. Ниже перечисляю ключевые работы для постановки и метода.</w:t>
      </w:r>
    </w:p>
    <w:p>
      <w:pPr>
        <w:keepNext/>
        <w:widowControl/>
      </w:pPr>
      <w:r>
        <w:t>Adrian, Boyarchenko, Giannone (2019), Vulnerable Growth, American Economic Review. Базовая работа по Growth-at-Risk: связывает финансовые условия с нижней частью распределения будущего роста и использует квантильные регрессии. На неё опираются определение риска и основная модель; результат для США нельзя автоматически переносить на еврозону.</w:t>
      </w:r>
    </w:p>
    <w:p>
      <w:pPr>
        <w:widowControl/>
        <w:spacing w:after="120"/>
      </w:pPr>
      <w:r>
        <w:rPr>
          <w:sz w:val="20"/>
        </w:rPr>
        <w:t>https://doi.org/10.1257/aer.20161923</w:t>
      </w:r>
    </w:p>
    <w:p>
      <w:pPr>
        <w:keepNext/>
        <w:widowControl/>
      </w:pPr>
      <w:r>
        <w:t>Figueres, Jarociński (2020), Vulnerable Growth in the Euro Area: Measuring the Financial Conditions, ECB Working Paper 2458; журнальная версия в Economics Letters. Сравнивает информативность финансовых показателей для рисков роста еврозоны. Это прямой предшественник работы; моё уточнение касается добавочной информации США при уже учтённых европейских условиях.</w:t>
      </w:r>
    </w:p>
    <w:p>
      <w:pPr>
        <w:widowControl/>
        <w:spacing w:after="120"/>
      </w:pPr>
      <w:r>
        <w:rPr>
          <w:sz w:val="20"/>
        </w:rPr>
        <w:t>https://doi.org/10.1016/j.econlet.2020.109126</w:t>
      </w:r>
    </w:p>
    <w:p>
      <w:pPr>
        <w:keepNext/>
        <w:widowControl/>
      </w:pPr>
      <w:r>
        <w:t>Chavleishvili, Kremer (2023), Measuring Systemic Financial Stress and Its Risks for Growth, ECB Working Paper 2842. Обосновывает обновлённые CISS и их связь с рисками роста. Работа нужна для выбора конкретной версии индекса и содержательного сопоставления CISS с NFCI.</w:t>
      </w:r>
    </w:p>
    <w:p>
      <w:pPr>
        <w:widowControl/>
        <w:spacing w:after="120"/>
      </w:pPr>
      <w:r>
        <w:rPr>
          <w:sz w:val="20"/>
        </w:rPr>
        <w:t>https://www.ecb.europa.eu/pub/pdf/scpwps/ecb.wp2842~9a4cb3f225.en.pdf</w:t>
      </w:r>
    </w:p>
    <w:p>
      <w:pPr>
        <w:keepNext/>
        <w:widowControl/>
      </w:pPr>
      <w:r>
        <w:t>Szendrei, Varga (2023), Revisiting Vulnerable Growth in the Euro Area: Identifying the Role of Financial Conditions in the Distribution, Economics Letters. Исследует выбор финансовых переменных для разных частей распределения роста. Показывает, что вопрос о наиболее полезных финансовых показателях еврозоны уже изучен; вклад нельзя сводить к самому применению квантильной регрессии.</w:t>
      </w:r>
    </w:p>
    <w:p>
      <w:pPr>
        <w:widowControl/>
        <w:spacing w:after="120"/>
      </w:pPr>
      <w:r>
        <w:rPr>
          <w:sz w:val="20"/>
        </w:rPr>
        <w:t>https://doi.org/10.1016/j.econlet.2023.110990</w:t>
      </w:r>
    </w:p>
    <w:p>
      <w:pPr>
        <w:keepNext/>
        <w:widowControl/>
      </w:pPr>
      <w:r>
        <w:t>Plaasch, Röthig (2025), A Growth-at-Risk Model for the German Economy, Deutsche Bundesbank Technical Paper 05/2025. Ближайший аналог: использует американский NFCI вместе с внутренним стрессом, настроениями и динамикой ВВП Германии. Отличие моей постановки — агрегат еврозоны, отдельное сравнение NFCI и CISS США и диагностика устойчивости. Само включение NFCI не является новизной.</w:t>
      </w:r>
    </w:p>
    <w:p>
      <w:pPr>
        <w:widowControl/>
        <w:spacing w:after="120"/>
      </w:pPr>
      <w:r>
        <w:rPr>
          <w:sz w:val="20"/>
        </w:rPr>
        <w:t>https://www.bundesbank.de/en/publications/reports/technical-papers/a-growth-at-risk-model-for-the-german-economy-971962</w:t>
      </w:r>
    </w:p>
    <w:p>
      <w:pPr>
        <w:keepNext/>
        <w:widowControl/>
      </w:pPr>
      <w:r>
        <w:t>Plagborg-Møller, Reichlin, Ricco, Hasenzagl (2020), When Is Growth at Risk?, Brookings Papers on Economic Activity. Критически оценивает предсказуемость хвостовых рисков и показывает слабость независимого финансового сигнала в ряде прогнозных упражнений. Обосновывает сравнение с простыми ориентирами и возможность содержательного отрицательного результата.</w:t>
      </w:r>
    </w:p>
    <w:p>
      <w:pPr>
        <w:widowControl/>
        <w:spacing w:after="120"/>
      </w:pPr>
      <w:r>
        <w:rPr>
          <w:sz w:val="20"/>
        </w:rPr>
        <w:t>https://doi.org/10.1353/eca.2020.0002</w:t>
      </w:r>
    </w:p>
    <w:p>
      <w:pPr>
        <w:keepNext/>
        <w:widowControl/>
      </w:pPr>
      <w:r>
        <w:t>Amburgey, McCracken (2023), On the Real-Time Predictive Content of Financial Condition Indices for Growth, Journal of Applied Econometrics. Исследует, как исторические версии NFCI и пересмотры данных меняют выводы о прогнозной полезности. Это основная опора для ограничения выводов нашего эксперимента на пересмотренных рядах.</w:t>
      </w:r>
    </w:p>
    <w:p>
      <w:pPr>
        <w:widowControl/>
        <w:spacing w:after="120"/>
      </w:pPr>
      <w:r>
        <w:rPr>
          <w:sz w:val="20"/>
        </w:rPr>
        <w:t>https://doi.org/10.1002/jae.2943</w:t>
      </w:r>
    </w:p>
    <w:p>
      <w:pPr>
        <w:keepNext/>
        <w:widowControl/>
      </w:pPr>
      <w:r>
        <w:t>Corradi, Fosten, Gutknecht (2023), Out-of-Sample Tests for Conditional Quantile Coverage: An Application to Growth-at-Risk, Journal of Econometrics. Разрабатывает проверку условного покрытия квантильных прогнозов. Использую работу как методический ориентир; её полный wild-bootstrap тест в текущих расчётах не воспроизведён.</w:t>
      </w:r>
    </w:p>
    <w:p>
      <w:pPr>
        <w:widowControl/>
        <w:spacing w:after="120"/>
      </w:pPr>
      <w:r>
        <w:rPr>
          <w:sz w:val="20"/>
        </w:rPr>
        <w:t>https://doi.org/10.1016/j.jeconom.2023.105490</w:t>
      </w:r>
    </w:p>
    <w:p>
      <w:pPr>
        <w:widowControl/>
      </w:pPr>
      <w:r>
        <w:t>Самостоятельный вклад я вижу в сравнении двух американских индикаторов по единым правилам и в объяснении, почему улучшение относительно одной регрессии может исчезать при смене ориентира или обработке экстремального роста. Это прикладное развитие известного подхода с умеренной новизной.</w:t>
      </w:r>
    </w:p>
    <w:p>
      <w:pPr>
        <w:keepNext/>
        <w:widowControl/>
        <w:spacing w:before="120"/>
      </w:pPr>
      <w:r>
        <w:rPr>
          <w:b/>
        </w:rPr>
        <w:t>4. Модель и проверка прогнозов</w:t>
      </w:r>
    </w:p>
    <w:p>
      <w:pPr>
        <w:widowControl/>
      </w:pPr>
      <w:r>
        <w:t>Основная модель — линейная квантильная регрессия для уровня 0,10. Основной горизонт — один квартал, четыре квартала — дополнительная проверка. Целевая переменная: G(t,h) = (400/h) × ln[Y(t+h)/Y(t)], где Y — реальный ВВП, h — один или четыре квартала. Это годовой логарифмический темп роста. Десятый процентиль характеризует нижнюю часть распределения; он не является вероятностью рецессии.</w:t>
      </w:r>
    </w:p>
    <w:p>
      <w:pPr>
        <w:widowControl/>
      </w:pPr>
      <w:r>
        <w:t>В базовую модель входят константа, рост ВВП с лагом один квартал, CISS еврозоны и ESI. В расширенные модели отдельно добавляются CISS США или NFCI США. Для сравнения также рассчитаны исторический десятый процентиль (HIST) и квантильная авторегрессия (AR).</w:t>
      </w:r>
    </w:p>
    <w:p>
      <w:pPr>
        <w:widowControl/>
      </w:pPr>
      <w:r>
        <w:t>Прогнозы рассчитываются последовательно с 2010Q1: 63 даты на один квартал и 60 на четыре. Основная схема использует расширяющуюся обучающую выборку; в неё входят только цели, заканчивающиеся не позже предыдущего квартала. Все модели сравниваются на одинаковых датах. Качество измеряется средней квантильной потерей: меньшая величина означает лучший прогноз выбранного квантиля.</w:t>
      </w:r>
    </w:p>
    <w:p>
      <w:pPr>
        <w:widowControl/>
      </w:pPr>
      <w:r>
        <w:t>Дополнительно проверены скользящее окно из 52 обучающих пар, второй лаг роста, исключение роста из регрессии и влияние экстремальных наблюдений. Основные результаты воспроизведены при повторном запуске; проверены календарные ограничения обучения и отсутствие использования будущих значений в выбранных контрольных расчётах.</w:t>
      </w:r>
    </w:p>
    <w:p>
      <w:pPr>
        <w:keepNext/>
        <w:widowControl/>
        <w:spacing w:before="120"/>
      </w:pPr>
      <w:r>
        <w:rPr>
          <w:b/>
        </w:rPr>
        <w:t>5. Основные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357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Модель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Потеря</w:t>
              <w:br/>
              <w:t>h = 1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Потеря</w:t>
              <w:br/>
              <w:t>h = 4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Ниже прогноза</w:t>
              <w:br/>
              <w:t>h = 1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HIST — исторический квантиль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1,2133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0,6891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11,1%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AR — лаговый рост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1,8321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0,8205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9,5%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BASE — европейская база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1,7387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0,7156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14,3%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BASE + CISS США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1,6791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0,9494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22,2%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BASE + NFCI США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1,4634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0,9339</w:t>
            </w:r>
          </w:p>
        </w:tc>
        <w:tc>
          <w:tcPr>
            <w:tcW w:type="dxa" w:w="1814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15,9%</w:t>
            </w:r>
          </w:p>
        </w:tc>
      </w:tr>
    </w:tbl>
    <w:p>
      <w:pPr>
        <w:widowControl/>
      </w:pPr>
      <w:r>
        <w:t>Таблица относится к основной схеме с расширяющимся окном. Последний столбец — доля случаев, когда фактический рост оказался ниже прогнозируемого десятого процентиля; при корректной калибровке ожидается около 10%. Средняя потеря оценивается отдельно для каждого горизонта.</w:t>
      </w:r>
    </w:p>
    <w:p>
      <w:pPr>
        <w:widowControl/>
      </w:pPr>
      <w:r>
        <w:t>На один квартал NFCI снижает потерю относительно BASE на 15,8%, но имеет потерю на 20,6% выше HIST. CISS США снижает потерю BASE лишь на 3,4%. При скользящем окне NFCI улучшает BASE на 18,4%, но проигрывает HIST на 27,5%. Таким образом, наблюдаемый выигрыш зависит от выбранного ориентира.</w:t>
      </w:r>
    </w:p>
    <w:p>
      <w:pPr>
        <w:widowControl/>
      </w:pPr>
      <w:r>
        <w:t>На четыре квартала NFCI ухудшает BASE на 30,5% в основной схеме. При скользящем окне направление меняется: потеря становится ниже BASE на 7,3%. Частота исходов ниже прогноза NFCI на этом горизонте составляет 33,3% вместо ожидаемых около 10%, поэтому этот вариант нельзя считать надёжно откалиброванным.</w:t>
      </w:r>
    </w:p>
    <w:p>
      <w:pPr>
        <w:keepNext/>
        <w:widowControl/>
        <w:spacing w:before="120"/>
      </w:pPr>
      <w:r>
        <w:rPr>
          <w:b/>
        </w:rPr>
        <w:t>6. Что установлено по превосходству модели</w:t>
      </w:r>
    </w:p>
    <w:p>
      <w:pPr>
        <w:widowControl/>
      </w:pPr>
      <w:r>
        <w:t>Статистически убедительного превосходства NFCI пока нет. В приближённом сравнении парных потерь скользящего окна со стандартными ошибками, учитывающими временную зависимость (HAC), p-значение для NFCI против BASE составляет 0,246, после поправки Холма на четыре сравнения — 0,739. Изменение числа лагов с четырёх до восьми не меняет вывод. Эти результаты не доказывают равенства моделей, но не позволяют заявить надёжный выигрыш.</w:t>
      </w:r>
    </w:p>
    <w:p>
      <w:pPr>
        <w:widowControl/>
      </w:pPr>
      <w:r>
        <w:t>Около 75,6% суммарного выигрыша NFCI над BASE на основном горизонте приходится на прогнозную дату 2020Q4. При исключении только этой даты из подсчёта потерь, без переобучения, улучшение сокращается до 5,2%. При ограничении экстремального регрессора роста диапазоном обучающей выборки и сохранении коэффициентов — до примерно 4,0%. Это диагностические расчёты; наблюдение сохраняется в основной оценке.</w:t>
      </w:r>
    </w:p>
    <w:p>
      <w:pPr>
        <w:widowControl/>
      </w:pPr>
      <w:r>
        <w:t>В дополнительной модели без лагового роста NFCI улучшает соответствующую европейскую базу на 4,1%, а его результат почти равен HIST: разница около 0,3% в пользу NFCI. Совместно с разложением экстремального прогноза это показывает, что значительная часть прежнего выигрыша связана с изменением реакции модели на рост ВВП. Её нельзя автоматически объяснять прямым сигналом американских финансовых условий.</w:t>
      </w:r>
    </w:p>
    <w:p>
      <w:pPr>
        <w:widowControl/>
      </w:pPr>
      <w:r>
        <w:t>За целевые периоды 2022–2025 годов на один квартал потеря NFCI составляет 0,175 против 0,244 у BASE и 0,221 у HIST. Это более благоприятный описательный результат, но в подпериоде всего 16 прогнозов. Его недостаточно для отдельного подтверждения превосходства. Пандемия используется как проверка поведения модели, а не как главный предмет диплома.</w:t>
      </w:r>
    </w:p>
    <w:p>
      <w:pPr>
        <w:keepNext/>
        <w:widowControl/>
        <w:spacing w:before="120"/>
      </w:pPr>
      <w:r>
        <w:rPr>
          <w:b/>
        </w:rPr>
        <w:t>7. Предлагаемый вывод и дальнейшая работа</w:t>
      </w:r>
    </w:p>
    <w:p>
      <w:pPr>
        <w:widowControl/>
      </w:pPr>
      <w:r>
        <w:t>Я предлагаю сохранить тему как сравнительное исследование прогнозной полезности американских финансовых индикаторов. Предварительный ответ состоит в том, что дополнительная информация может улучшать отдельную европейскую спецификацию, однако выигрыш неустойчив и не подтверждает преимущества над простыми ориентирами во всех проверках. Пересмотренные данные, короткая проверочная выборка и различия географического охвата ограничивают практические выводы.</w:t>
      </w:r>
    </w:p>
    <w:p>
      <w:pPr>
        <w:widowControl/>
      </w:pPr>
      <w:r>
        <w:t>В первой главе планирую рассмотреть финансовые условия, международную взаимосвязь и подход Growth-at-Risk; во второй — данные, модель, результаты и устойчивость; в третьей — рекомендации по использованию дополнительных индикаторов, сравнению с простыми прогнозами и контролю экстраполяции. Оснований давать по этим расчётам рекомендации о ставке ЕЦБ нет.</w:t>
      </w:r>
    </w:p>
    <w:p>
      <w:pPr>
        <w:widowControl/>
      </w:pPr>
      <w:r>
        <w:t>Прошу согласовать такую постановку и допустимость диплома с неоднозначным результатом по прогнозному превосходству. После согласования можно переходить к написанию на основе собранных данных и обзора литературы.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/>
      <w:contextualSpacing/>
      <w:jc w:val="center"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Финансовые условия США в прогнозировании рисков роста еврозоны</dc:title>
  <dc:subject>Данные литература и предварительные результаты модели</dc:subject>
  <dc:creator>Рустам Чулиев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