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rFonts w:ascii="Times New Roman" w:hAnsi="Times New Roman" w:eastAsia="Times New Roman" w:cs="Times New Roman"/>
          <w:b/>
          <w:color w:val="000000"/>
          <w:sz w:val="26"/>
        </w:rPr>
        <w:t>Проверка темы перед началом написания</w:t>
      </w:r>
    </w:p>
    <w:p>
      <w:pPr>
        <w:widowControl/>
      </w:pPr>
      <w:r>
        <w:rPr>
          <w:rFonts w:ascii="Times New Roman" w:hAnsi="Times New Roman" w:eastAsia="Times New Roman" w:cs="Times New Roman"/>
          <w:color w:val="000000"/>
          <w:sz w:val="24"/>
        </w:rPr>
        <w:t>«Финансовые условия США в прогнозировании рисков роста еврозоны»</w:t>
      </w:r>
    </w:p>
    <w:p>
      <w:pPr>
        <w:widowControl/>
      </w:pPr>
      <w:r>
        <w:rPr>
          <w:rFonts w:ascii="Times New Roman" w:hAnsi="Times New Roman" w:eastAsia="Times New Roman" w:cs="Times New Roman"/>
          <w:color w:val="000000"/>
          <w:sz w:val="24"/>
        </w:rPr>
        <w:t>16 октября 2026 года</w:t>
      </w:r>
    </w:p>
    <w:p>
      <w:pPr>
        <w:widowControl/>
      </w:pPr>
      <w:r>
        <w:rPr>
          <w:rFonts w:ascii="Times New Roman" w:hAnsi="Times New Roman" w:eastAsia="Times New Roman" w:cs="Times New Roman"/>
          <w:color w:val="000000"/>
          <w:sz w:val="24"/>
        </w:rPr>
        <w:t>По результатам завершающего пилота предлагаю сохранить тему и начать писать диплом. Доступных данных и выполненных расчётов достаточно для самостоятельного прикладного исследования. Статью также можно готовить как репликацию и расширение известного подхода на еврозону. Это решение о начале написания, а не гарантия публикации или оценки на защите.</w:t>
      </w:r>
    </w:p>
    <w:p>
      <w:pPr>
        <w:widowControl/>
      </w:pPr>
      <w:r>
        <w:rPr>
          <w:rFonts w:ascii="Times New Roman" w:hAnsi="Times New Roman" w:eastAsia="Times New Roman" w:cs="Times New Roman"/>
          <w:color w:val="000000"/>
          <w:sz w:val="24"/>
        </w:rPr>
        <w:t>Основной вопрос: улучшает ли американский NFCI прогноз нижнего дециля роста еврозоны после учёта лагового роста и европейских экономических настроений, если использовать исторически доступные версии данных? Отдельно проверяю, даёт ли это преимущество перед историческим квантилем и авторегрессией.</w:t>
      </w:r>
    </w:p>
    <w:p>
      <w:pPr>
        <w:widowControl/>
      </w:pPr>
      <w:r>
        <w:rPr>
          <w:rFonts w:ascii="Times New Roman" w:hAnsi="Times New Roman" w:eastAsia="Times New Roman" w:cs="Times New Roman"/>
          <w:color w:val="000000"/>
          <w:sz w:val="24"/>
        </w:rPr>
        <w:t>Содержательный результат получен: небольшой средний выигрыш относительно модели с ESI не означает устойчивого превосходства. HIST остаётся сильнее на обоих горизонтах. Выигрыш зависит от одной экстремальной даты, а использование пересмотренного NFCI делает результаты более благоприятными, чем использование исторических версий.</w:t>
      </w:r>
    </w:p>
    <w:p>
      <w:pPr>
        <w:widowControl/>
      </w:pPr>
      <w:r>
        <w:rPr>
          <w:rFonts w:ascii="Times New Roman" w:hAnsi="Times New Roman" w:eastAsia="Times New Roman" w:cs="Times New Roman"/>
          <w:color w:val="000000"/>
          <w:sz w:val="24"/>
        </w:rPr>
        <w:t>Международно-экономический механизм</w:t>
      </w:r>
    </w:p>
    <w:p>
      <w:pPr>
        <w:widowControl/>
      </w:pPr>
      <w:r>
        <w:rPr>
          <w:rFonts w:ascii="Times New Roman" w:hAnsi="Times New Roman" w:eastAsia="Times New Roman" w:cs="Times New Roman"/>
          <w:color w:val="000000"/>
          <w:sz w:val="24"/>
        </w:rPr>
        <w:t>Переоценка риска на рынках США может сопровождаться ростом доходностей, изменением долларового фондирования банков и международных портфельных потоков. Для европейских банков и компаний это влияет на стоимость внешнего финансирования, инвестиционные решения и риск особенно слабого роста. Поэтому американский индекс потенциально содержит своевременный сигнал о международной финансовой конъюнктуре.</w:t>
      </w:r>
    </w:p>
    <w:p>
      <w:pPr>
        <w:widowControl/>
      </w:pPr>
      <w:r>
        <w:rPr>
          <w:rFonts w:ascii="Times New Roman" w:hAnsi="Times New Roman" w:eastAsia="Times New Roman" w:cs="Times New Roman"/>
          <w:color w:val="000000"/>
          <w:sz w:val="24"/>
        </w:rPr>
        <w:t>Теоретическую основу дают работы Miranda-Agrippino и Rey о глобальном финансовом цикле, Bruno и Shin о трансграничном банковском финансировании, Kaufmann о международных фондах, Habib и Venditti о глобальном риске. Эти источники уже находятся в проекте. Сам NFCI отражает и американские, и общие глобальные факторы; прогнозная регрессия не выделяет причинный эффект ФРС или конкретный канал движения капитала.</w:t>
      </w:r>
    </w:p>
    <w:p>
      <w:r>
        <w:br w:type="page"/>
      </w:r>
    </w:p>
    <w:p>
      <w:pPr>
        <w:keepNext/>
      </w:pPr>
      <w:r>
        <w:rPr>
          <w:rFonts w:ascii="Times New Roman" w:hAnsi="Times New Roman" w:eastAsia="Times New Roman" w:cs="Times New Roman"/>
          <w:b/>
          <w:color w:val="000000"/>
          <w:sz w:val="26"/>
        </w:rPr>
        <w:t>Данные и календарь</w:t>
      </w:r>
    </w:p>
    <w:tbl>
      <w:tblPr>
        <w:tblStyle w:val="TableGrid"/>
        <w:tblW w:type="auto" w:w="0"/>
        <w:tblLayout w:type="fixed"/>
        <w:tblLook w:firstColumn="1" w:firstRow="1" w:lastColumn="0" w:lastRow="0" w:noHBand="0" w:noVBand="1" w:val="04A0"/>
      </w:tblPr>
      <w:tblGrid>
        <w:gridCol w:w="1928"/>
        <w:gridCol w:w="7427"/>
      </w:tblGrid>
      <w:tr>
        <w:trPr>
          <w:tblHeader/>
          <w:cantSplit/>
        </w:trPr>
        <w:tc>
          <w:tcPr>
            <w:tcW w:type="dxa" w:w="1928"/>
          </w:tcPr>
          <w:p>
            <w:pPr>
              <w:spacing w:line="240" w:lineRule="auto" w:before="40" w:after="40"/>
            </w:pPr>
            <w:r>
              <w:rPr>
                <w:rFonts w:ascii="Times New Roman" w:hAnsi="Times New Roman" w:eastAsia="Times New Roman" w:cs="Times New Roman"/>
                <w:b/>
                <w:color w:val="000000"/>
                <w:sz w:val="22"/>
              </w:rPr>
              <w:t>Показатель</w:t>
            </w:r>
          </w:p>
        </w:tc>
        <w:tc>
          <w:tcPr>
            <w:tcW w:type="dxa" w:w="7427"/>
          </w:tcPr>
          <w:p>
            <w:pPr>
              <w:spacing w:line="240" w:lineRule="auto" w:before="40" w:after="40"/>
            </w:pPr>
            <w:r>
              <w:rPr>
                <w:rFonts w:ascii="Times New Roman" w:hAnsi="Times New Roman" w:eastAsia="Times New Roman" w:cs="Times New Roman"/>
                <w:b/>
                <w:color w:val="000000"/>
                <w:sz w:val="22"/>
              </w:rPr>
              <w:t>Источник и применение</w:t>
            </w:r>
          </w:p>
        </w:tc>
      </w:tr>
      <w:tr>
        <w:trPr>
          <w:cantSplit/>
        </w:trPr>
        <w:tc>
          <w:tcPr>
            <w:tcW w:type="dxa" w:w="1928"/>
          </w:tcPr>
          <w:p>
            <w:pPr>
              <w:spacing w:line="240" w:lineRule="auto" w:before="40" w:after="40"/>
            </w:pPr>
            <w:r>
              <w:rPr>
                <w:rFonts w:ascii="Times New Roman" w:hAnsi="Times New Roman" w:eastAsia="Times New Roman" w:cs="Times New Roman"/>
                <w:b w:val="0"/>
                <w:color w:val="000000"/>
                <w:sz w:val="22"/>
              </w:rPr>
              <w:t>Реальный ВВП еврозоны</w:t>
            </w:r>
          </w:p>
        </w:tc>
        <w:tc>
          <w:tcPr>
            <w:tcW w:type="dxa" w:w="7427"/>
          </w:tcPr>
          <w:p>
            <w:pPr>
              <w:spacing w:line="240" w:lineRule="auto" w:before="40" w:after="40"/>
            </w:pPr>
            <w:r>
              <w:rPr>
                <w:rFonts w:ascii="Times New Roman" w:hAnsi="Times New Roman" w:eastAsia="Times New Roman" w:cs="Times New Roman"/>
                <w:b w:val="0"/>
                <w:color w:val="000000"/>
                <w:sz w:val="22"/>
              </w:rPr>
              <w:t>ECB RTD: исторические версии уровней. Рост рассчитывается внутри одной версии; обучение начинается с 1995 года.</w:t>
            </w:r>
          </w:p>
        </w:tc>
      </w:tr>
      <w:tr>
        <w:trPr>
          <w:cantSplit/>
        </w:trPr>
        <w:tc>
          <w:tcPr>
            <w:tcW w:type="dxa" w:w="1928"/>
          </w:tcPr>
          <w:p>
            <w:pPr>
              <w:spacing w:line="240" w:lineRule="auto" w:before="40" w:after="40"/>
            </w:pPr>
            <w:r>
              <w:rPr>
                <w:rFonts w:ascii="Times New Roman" w:hAnsi="Times New Roman" w:eastAsia="Times New Roman" w:cs="Times New Roman"/>
                <w:b w:val="0"/>
                <w:color w:val="000000"/>
                <w:sz w:val="22"/>
              </w:rPr>
              <w:t>ESI еврозоны</w:t>
            </w:r>
          </w:p>
        </w:tc>
        <w:tc>
          <w:tcPr>
            <w:tcW w:type="dxa" w:w="7427"/>
          </w:tcPr>
          <w:p>
            <w:pPr>
              <w:spacing w:line="240" w:lineRule="auto" w:before="40" w:after="40"/>
            </w:pPr>
            <w:r>
              <w:rPr>
                <w:rFonts w:ascii="Times New Roman" w:hAnsi="Times New Roman" w:eastAsia="Times New Roman" w:cs="Times New Roman"/>
                <w:b w:val="0"/>
                <w:color w:val="000000"/>
                <w:sz w:val="22"/>
              </w:rPr>
              <w:t>ECB RTD и опубликованные таблицы Economic Bulletin. Среднее первых двух месяцев квартала. Даты исходных выпусков проверены по архиву Еврокомиссии.</w:t>
            </w:r>
          </w:p>
        </w:tc>
      </w:tr>
      <w:tr>
        <w:trPr>
          <w:cantSplit/>
        </w:trPr>
        <w:tc>
          <w:tcPr>
            <w:tcW w:type="dxa" w:w="1928"/>
          </w:tcPr>
          <w:p>
            <w:pPr>
              <w:spacing w:line="240" w:lineRule="auto" w:before="40" w:after="40"/>
            </w:pPr>
            <w:r>
              <w:rPr>
                <w:rFonts w:ascii="Times New Roman" w:hAnsi="Times New Roman" w:eastAsia="Times New Roman" w:cs="Times New Roman"/>
                <w:b w:val="0"/>
                <w:color w:val="000000"/>
                <w:sz w:val="22"/>
              </w:rPr>
              <w:t>NFCI США</w:t>
            </w:r>
          </w:p>
        </w:tc>
        <w:tc>
          <w:tcPr>
            <w:tcW w:type="dxa" w:w="7427"/>
          </w:tcPr>
          <w:p>
            <w:pPr>
              <w:spacing w:line="240" w:lineRule="auto" w:before="40" w:after="40"/>
            </w:pPr>
            <w:r>
              <w:rPr>
                <w:rFonts w:ascii="Times New Roman" w:hAnsi="Times New Roman" w:eastAsia="Times New Roman" w:cs="Times New Roman"/>
                <w:b w:val="0"/>
                <w:color w:val="000000"/>
                <w:sz w:val="22"/>
              </w:rPr>
              <w:t>Chicago Fed через ALFRED: 59 версий на концы кварталов 2011Q2–2025Q4. В основной модели используется версия, существовавшая на соответствующую дату.</w:t>
            </w:r>
          </w:p>
        </w:tc>
      </w:tr>
    </w:tbl>
    <w:p>
      <w:pPr>
        <w:spacing w:after="0"/>
      </w:pPr>
    </w:p>
    <w:p>
      <w:pPr>
        <w:widowControl/>
      </w:pPr>
      <w:r>
        <w:rPr>
          <w:rFonts w:ascii="Times New Roman" w:hAnsi="Times New Roman" w:eastAsia="Times New Roman" w:cs="Times New Roman"/>
          <w:color w:val="000000"/>
          <w:sz w:val="24"/>
        </w:rPr>
        <w:t>Прогноз формируется на 15-й календарный день после конца квартала t. Использую макроснимки с отсечением не позже конца t, опубликованные к дате прогноза; NFCI намеренно фиксирую на конце t. Прогнозы начинаются после запуска NFCI в апреле 2011 года. Из финансового агрегата исключаю последние семь дней квартала как консервативный запас. Схема намеренно ограничена: третий месяц ESI и более свежие выпуски NFCI после конца t не включаются. Вывод относится к этому информационному набору.</w:t>
      </w:r>
    </w:p>
    <w:p>
      <w:pPr>
        <w:widowControl/>
      </w:pPr>
      <w:r>
        <w:rPr>
          <w:rFonts w:ascii="Times New Roman" w:hAnsi="Times New Roman" w:eastAsia="Times New Roman" w:cs="Times New Roman"/>
          <w:color w:val="000000"/>
          <w:sz w:val="24"/>
        </w:rPr>
        <w:t>Сдвиг даты нужен из-за декабрьских бюллетеней, которые иногда выходят в январе. Например, снимок 17 декабря 2025 года связан с выпуском 15 января 2026 года. ВВП квартала t в обучение не допускается: последняя обучающая цель заканчивается не позже t−1. Проверены 59 дат регулярного выпуска лагового ВВП и 118 фактических выпусков первых двух месяцев ESI.</w:t>
      </w:r>
    </w:p>
    <w:tbl>
      <w:tblPr>
        <w:tblStyle w:val="TableGrid"/>
        <w:tblW w:type="auto" w:w="0"/>
        <w:tblLayout w:type="fixed"/>
        <w:tblLook w:firstColumn="1" w:firstRow="1" w:lastColumn="0" w:lastRow="0" w:noHBand="0" w:noVBand="1" w:val="04A0"/>
      </w:tblPr>
      <w:tblGrid>
        <w:gridCol w:w="1928"/>
        <w:gridCol w:w="7427"/>
      </w:tblGrid>
      <w:tr>
        <w:trPr>
          <w:tblHeader/>
          <w:cantSplit/>
        </w:trPr>
        <w:tc>
          <w:tcPr>
            <w:tcW w:type="dxa" w:w="1928"/>
          </w:tcPr>
          <w:p>
            <w:pPr>
              <w:spacing w:line="240" w:lineRule="auto" w:before="40" w:after="40"/>
            </w:pPr>
            <w:r>
              <w:rPr>
                <w:rFonts w:ascii="Times New Roman" w:hAnsi="Times New Roman" w:eastAsia="Times New Roman" w:cs="Times New Roman"/>
                <w:b/>
                <w:color w:val="000000"/>
                <w:sz w:val="22"/>
              </w:rPr>
              <w:t>Пробел RTD</w:t>
            </w:r>
          </w:p>
        </w:tc>
        <w:tc>
          <w:tcPr>
            <w:tcW w:type="dxa" w:w="7427"/>
          </w:tcPr>
          <w:p>
            <w:pPr>
              <w:spacing w:line="240" w:lineRule="auto" w:before="40" w:after="40"/>
            </w:pPr>
            <w:r>
              <w:rPr>
                <w:rFonts w:ascii="Times New Roman" w:hAnsi="Times New Roman" w:eastAsia="Times New Roman" w:cs="Times New Roman"/>
                <w:b/>
                <w:color w:val="000000"/>
                <w:sz w:val="22"/>
              </w:rPr>
              <w:t>Восстановление из опубликованного бюллетеня</w:t>
            </w:r>
          </w:p>
        </w:tc>
      </w:tr>
      <w:tr>
        <w:trPr>
          <w:cantSplit/>
        </w:trPr>
        <w:tc>
          <w:tcPr>
            <w:tcW w:type="dxa" w:w="1928"/>
          </w:tcPr>
          <w:p>
            <w:pPr>
              <w:spacing w:line="240" w:lineRule="auto" w:before="40" w:after="40"/>
            </w:pPr>
            <w:r>
              <w:rPr>
                <w:rFonts w:ascii="Times New Roman" w:hAnsi="Times New Roman" w:eastAsia="Times New Roman" w:cs="Times New Roman"/>
                <w:b w:val="0"/>
                <w:color w:val="000000"/>
                <w:sz w:val="22"/>
              </w:rPr>
              <w:t>2022Q2</w:t>
            </w:r>
          </w:p>
        </w:tc>
        <w:tc>
          <w:tcPr>
            <w:tcW w:type="dxa" w:w="7427"/>
          </w:tcPr>
          <w:p>
            <w:pPr>
              <w:spacing w:line="240" w:lineRule="auto" w:before="40" w:after="40"/>
            </w:pPr>
            <w:r>
              <w:rPr>
                <w:rFonts w:ascii="Times New Roman" w:hAnsi="Times New Roman" w:eastAsia="Times New Roman" w:cs="Times New Roman"/>
                <w:b w:val="0"/>
                <w:color w:val="000000"/>
                <w:sz w:val="22"/>
              </w:rPr>
              <w:t>Выпуск 23.06.2022: ESI апреля 104,9 и мая 105,0; рост ВВП 2022Q1 q/q 0,6%, y/y 5,4%. Уровни ВВП не достраиваются.</w:t>
            </w:r>
          </w:p>
        </w:tc>
      </w:tr>
      <w:tr>
        <w:trPr>
          <w:cantSplit/>
        </w:trPr>
        <w:tc>
          <w:tcPr>
            <w:tcW w:type="dxa" w:w="1928"/>
          </w:tcPr>
          <w:p>
            <w:pPr>
              <w:spacing w:line="240" w:lineRule="auto" w:before="40" w:after="40"/>
            </w:pPr>
            <w:r>
              <w:rPr>
                <w:rFonts w:ascii="Times New Roman" w:hAnsi="Times New Roman" w:eastAsia="Times New Roman" w:cs="Times New Roman"/>
                <w:b w:val="0"/>
                <w:color w:val="000000"/>
                <w:sz w:val="22"/>
              </w:rPr>
              <w:t>2023Q1 и Q2</w:t>
            </w:r>
          </w:p>
        </w:tc>
        <w:tc>
          <w:tcPr>
            <w:tcW w:type="dxa" w:w="7427"/>
          </w:tcPr>
          <w:p>
            <w:pPr>
              <w:spacing w:line="240" w:lineRule="auto" w:before="40" w:after="40"/>
            </w:pPr>
            <w:r>
              <w:rPr>
                <w:rFonts w:ascii="Times New Roman" w:hAnsi="Times New Roman" w:eastAsia="Times New Roman" w:cs="Times New Roman"/>
                <w:b w:val="0"/>
                <w:color w:val="000000"/>
                <w:sz w:val="22"/>
              </w:rPr>
              <w:t>Выпуски 30.03.2023 и 29.06.2023: опубликованные месяцы ESI. При удалении ряда из API сохраняю ранее известную историю.</w:t>
            </w:r>
          </w:p>
        </w:tc>
      </w:tr>
      <w:tr>
        <w:trPr>
          <w:cantSplit/>
        </w:trPr>
        <w:tc>
          <w:tcPr>
            <w:tcW w:type="dxa" w:w="1928"/>
          </w:tcPr>
          <w:p>
            <w:pPr>
              <w:spacing w:line="240" w:lineRule="auto" w:before="40" w:after="40"/>
            </w:pPr>
            <w:r>
              <w:rPr>
                <w:rFonts w:ascii="Times New Roman" w:hAnsi="Times New Roman" w:eastAsia="Times New Roman" w:cs="Times New Roman"/>
                <w:b w:val="0"/>
                <w:color w:val="000000"/>
                <w:sz w:val="22"/>
              </w:rPr>
              <w:t>2025Q3</w:t>
            </w:r>
          </w:p>
        </w:tc>
        <w:tc>
          <w:tcPr>
            <w:tcW w:type="dxa" w:w="7427"/>
          </w:tcPr>
          <w:p>
            <w:pPr>
              <w:spacing w:line="240" w:lineRule="auto" w:before="40" w:after="40"/>
            </w:pPr>
            <w:r>
              <w:rPr>
                <w:rFonts w:ascii="Times New Roman" w:hAnsi="Times New Roman" w:eastAsia="Times New Roman" w:cs="Times New Roman"/>
                <w:b w:val="0"/>
                <w:color w:val="000000"/>
                <w:sz w:val="22"/>
              </w:rPr>
              <w:t>Выпуск 25.09.2025: ESI июля 95,7 и августа 95,2.</w:t>
            </w:r>
          </w:p>
        </w:tc>
      </w:tr>
    </w:tbl>
    <w:p>
      <w:pPr>
        <w:spacing w:after="0"/>
      </w:pPr>
    </w:p>
    <w:p>
      <w:pPr>
        <w:widowControl/>
      </w:pPr>
      <w:r>
        <w:rPr>
          <w:rFonts w:ascii="Times New Roman" w:hAnsi="Times New Roman" w:eastAsia="Times New Roman" w:cs="Times New Roman"/>
          <w:color w:val="000000"/>
          <w:sz w:val="24"/>
        </w:rPr>
        <w:t>RTD отражает исторический policy concept еврозоны; это не фиксированный EA20 прежнего эксперимента. Сохранённая старая история ESI при пробеле 2023 года частично относится к прежнему составу. Поэтому проверяю исключение этих дат. Для выпусков до 2015 года использую консервативную верхнюю границу доступности — конец месяца Monthly Bulletin. Это реализуемый ограниченный информационный набор, не полная копия всей информации рынка.</w:t>
      </w:r>
    </w:p>
    <w:p>
      <w:r>
        <w:br w:type="page"/>
      </w:r>
    </w:p>
    <w:p>
      <w:pPr>
        <w:keepNext/>
      </w:pPr>
      <w:r>
        <w:rPr>
          <w:rFonts w:ascii="Times New Roman" w:hAnsi="Times New Roman" w:eastAsia="Times New Roman" w:cs="Times New Roman"/>
          <w:b/>
          <w:color w:val="000000"/>
          <w:sz w:val="26"/>
        </w:rPr>
        <w:t>Модель и основное сравнение</w:t>
      </w:r>
    </w:p>
    <w:p>
      <w:pPr>
        <w:widowControl/>
      </w:pPr>
      <w:r>
        <w:rPr>
          <w:rFonts w:ascii="Times New Roman" w:hAnsi="Times New Roman" w:eastAsia="Times New Roman" w:cs="Times New Roman"/>
          <w:color w:val="000000"/>
          <w:sz w:val="24"/>
        </w:rPr>
        <w:t>Оцениваю прямую квантильную регрессию для 10-го процентиля. Цель: y(t,h) = (400/h) × ln[Y(t+h)/Y(t)], где h = 1 или 4 квартала. Предиктор роста: 400 × ln[Y(t−1)/Y(t−2)]. При h=1 это прогноз следующего квартала, формируемый на его 15-й день; при h=4 — среднего годового темпа за следующие четыре квартала. Это не вероятность рецессии.</w:t>
      </w:r>
    </w:p>
    <w:p>
      <w:pPr>
        <w:widowControl/>
      </w:pPr>
      <w:r>
        <w:rPr>
          <w:rFonts w:ascii="Times New Roman" w:hAnsi="Times New Roman" w:eastAsia="Times New Roman" w:cs="Times New Roman"/>
          <w:color w:val="000000"/>
          <w:sz w:val="24"/>
        </w:rPr>
        <w:t>Лестница моделей: HIST — исторический дециль; AR — лаговый рост; AR + ESI — европейская база; AR + ESI + NFCI — добавление американского индекса. Все модели используют одинаковые обучающие строки и даты оценки. Основное окно расширяется, проверочное скользящее окно содержит 52 квартала.</w:t>
      </w:r>
    </w:p>
    <w:p>
      <w:pPr>
        <w:widowControl/>
      </w:pPr>
      <w:r>
        <w:rPr>
          <w:rFonts w:ascii="Times New Roman" w:hAnsi="Times New Roman" w:eastAsia="Times New Roman" w:cs="Times New Roman"/>
          <w:color w:val="000000"/>
          <w:sz w:val="24"/>
        </w:rPr>
        <w:t>Фактический рост для оценки фиксирую по последней доступной полной информации не позднее конца второго квартала после целевого квартала. Это цель с ограничением зрелости примерно в шесть месяцев, не первая флэш-оценка. В качестве проверки также оцениваю те же прогнозы по единой поздней версии RTD; новых коэффициентов для этого не подбираю.</w:t>
      </w:r>
    </w:p>
    <w:tbl>
      <w:tblPr>
        <w:tblStyle w:val="TableGrid"/>
        <w:tblW w:type="auto" w:w="0"/>
        <w:tblLayout w:type="fixed"/>
        <w:tblLook w:firstColumn="1" w:firstRow="1" w:lastColumn="0" w:lastRow="0" w:noHBand="0" w:noVBand="1" w:val="04A0"/>
      </w:tblPr>
      <w:tblGrid>
        <w:gridCol w:w="3458"/>
        <w:gridCol w:w="2948"/>
        <w:gridCol w:w="2948"/>
      </w:tblGrid>
      <w:tr>
        <w:trPr>
          <w:tblHeader/>
          <w:cantSplit/>
        </w:trPr>
        <w:tc>
          <w:tcPr>
            <w:tcW w:type="dxa" w:w="3458"/>
          </w:tcPr>
          <w:p>
            <w:pPr>
              <w:spacing w:line="240" w:lineRule="auto" w:before="40" w:after="40"/>
            </w:pPr>
            <w:r>
              <w:rPr>
                <w:rFonts w:ascii="Times New Roman" w:hAnsi="Times New Roman" w:eastAsia="Times New Roman" w:cs="Times New Roman"/>
                <w:b/>
                <w:color w:val="000000"/>
                <w:sz w:val="22"/>
              </w:rPr>
              <w:t>Модель</w:t>
            </w:r>
          </w:p>
        </w:tc>
        <w:tc>
          <w:tcPr>
            <w:tcW w:type="dxa" w:w="2948"/>
          </w:tcPr>
          <w:p>
            <w:pPr>
              <w:spacing w:line="240" w:lineRule="auto" w:before="40" w:after="40"/>
            </w:pPr>
            <w:r>
              <w:rPr>
                <w:rFonts w:ascii="Times New Roman" w:hAnsi="Times New Roman" w:eastAsia="Times New Roman" w:cs="Times New Roman"/>
                <w:b/>
                <w:color w:val="000000"/>
                <w:sz w:val="22"/>
              </w:rPr>
              <w:t>Потеря h=1, n=58</w:t>
            </w:r>
          </w:p>
        </w:tc>
        <w:tc>
          <w:tcPr>
            <w:tcW w:type="dxa" w:w="2948"/>
          </w:tcPr>
          <w:p>
            <w:pPr>
              <w:spacing w:line="240" w:lineRule="auto" w:before="40" w:after="40"/>
            </w:pPr>
            <w:r>
              <w:rPr>
                <w:rFonts w:ascii="Times New Roman" w:hAnsi="Times New Roman" w:eastAsia="Times New Roman" w:cs="Times New Roman"/>
                <w:b/>
                <w:color w:val="000000"/>
                <w:sz w:val="22"/>
              </w:rPr>
              <w:t>Потеря h=4, n=55</w:t>
            </w:r>
          </w:p>
        </w:tc>
      </w:tr>
      <w:tr>
        <w:trPr>
          <w:cantSplit/>
        </w:trPr>
        <w:tc>
          <w:tcPr>
            <w:tcW w:type="dxa" w:w="3458"/>
          </w:tcPr>
          <w:p>
            <w:pPr>
              <w:spacing w:line="240" w:lineRule="auto" w:before="40" w:after="40"/>
            </w:pPr>
            <w:r>
              <w:rPr>
                <w:rFonts w:ascii="Times New Roman" w:hAnsi="Times New Roman" w:eastAsia="Times New Roman" w:cs="Times New Roman"/>
                <w:b w:val="0"/>
                <w:color w:val="000000"/>
                <w:sz w:val="22"/>
              </w:rPr>
              <w:t>HIST</w:t>
            </w:r>
          </w:p>
        </w:tc>
        <w:tc>
          <w:tcPr>
            <w:tcW w:type="dxa" w:w="2948"/>
          </w:tcPr>
          <w:p>
            <w:pPr>
              <w:spacing w:line="240" w:lineRule="auto" w:before="40" w:after="40"/>
            </w:pPr>
            <w:r>
              <w:rPr>
                <w:rFonts w:ascii="Times New Roman" w:hAnsi="Times New Roman" w:eastAsia="Times New Roman" w:cs="Times New Roman"/>
                <w:b w:val="0"/>
                <w:color w:val="000000"/>
                <w:sz w:val="22"/>
              </w:rPr>
              <w:t>1,353</w:t>
            </w:r>
          </w:p>
        </w:tc>
        <w:tc>
          <w:tcPr>
            <w:tcW w:type="dxa" w:w="2948"/>
          </w:tcPr>
          <w:p>
            <w:pPr>
              <w:spacing w:line="240" w:lineRule="auto" w:before="40" w:after="40"/>
            </w:pPr>
            <w:r>
              <w:rPr>
                <w:rFonts w:ascii="Times New Roman" w:hAnsi="Times New Roman" w:eastAsia="Times New Roman" w:cs="Times New Roman"/>
                <w:b w:val="0"/>
                <w:color w:val="000000"/>
                <w:sz w:val="22"/>
              </w:rPr>
              <w:t>0,747</w:t>
            </w:r>
          </w:p>
        </w:tc>
      </w:tr>
      <w:tr>
        <w:trPr>
          <w:cantSplit/>
        </w:trPr>
        <w:tc>
          <w:tcPr>
            <w:tcW w:type="dxa" w:w="3458"/>
          </w:tcPr>
          <w:p>
            <w:pPr>
              <w:spacing w:line="240" w:lineRule="auto" w:before="40" w:after="40"/>
            </w:pPr>
            <w:r>
              <w:rPr>
                <w:rFonts w:ascii="Times New Roman" w:hAnsi="Times New Roman" w:eastAsia="Times New Roman" w:cs="Times New Roman"/>
                <w:b w:val="0"/>
                <w:color w:val="000000"/>
                <w:sz w:val="22"/>
              </w:rPr>
              <w:t>AR</w:t>
            </w:r>
          </w:p>
        </w:tc>
        <w:tc>
          <w:tcPr>
            <w:tcW w:type="dxa" w:w="2948"/>
          </w:tcPr>
          <w:p>
            <w:pPr>
              <w:spacing w:line="240" w:lineRule="auto" w:before="40" w:after="40"/>
            </w:pPr>
            <w:r>
              <w:rPr>
                <w:rFonts w:ascii="Times New Roman" w:hAnsi="Times New Roman" w:eastAsia="Times New Roman" w:cs="Times New Roman"/>
                <w:b w:val="0"/>
                <w:color w:val="000000"/>
                <w:sz w:val="22"/>
              </w:rPr>
              <w:t>1,960</w:t>
            </w:r>
          </w:p>
        </w:tc>
        <w:tc>
          <w:tcPr>
            <w:tcW w:type="dxa" w:w="2948"/>
          </w:tcPr>
          <w:p>
            <w:pPr>
              <w:spacing w:line="240" w:lineRule="auto" w:before="40" w:after="40"/>
            </w:pPr>
            <w:r>
              <w:rPr>
                <w:rFonts w:ascii="Times New Roman" w:hAnsi="Times New Roman" w:eastAsia="Times New Roman" w:cs="Times New Roman"/>
                <w:b w:val="0"/>
                <w:color w:val="000000"/>
                <w:sz w:val="22"/>
              </w:rPr>
              <w:t>1,024</w:t>
            </w:r>
          </w:p>
        </w:tc>
      </w:tr>
      <w:tr>
        <w:trPr>
          <w:cantSplit/>
        </w:trPr>
        <w:tc>
          <w:tcPr>
            <w:tcW w:type="dxa" w:w="3458"/>
          </w:tcPr>
          <w:p>
            <w:pPr>
              <w:spacing w:line="240" w:lineRule="auto" w:before="40" w:after="40"/>
            </w:pPr>
            <w:r>
              <w:rPr>
                <w:rFonts w:ascii="Times New Roman" w:hAnsi="Times New Roman" w:eastAsia="Times New Roman" w:cs="Times New Roman"/>
                <w:b w:val="0"/>
                <w:color w:val="000000"/>
                <w:sz w:val="22"/>
              </w:rPr>
              <w:t>AR + ESI</w:t>
            </w:r>
          </w:p>
        </w:tc>
        <w:tc>
          <w:tcPr>
            <w:tcW w:type="dxa" w:w="2948"/>
          </w:tcPr>
          <w:p>
            <w:pPr>
              <w:spacing w:line="240" w:lineRule="auto" w:before="40" w:after="40"/>
            </w:pPr>
            <w:r>
              <w:rPr>
                <w:rFonts w:ascii="Times New Roman" w:hAnsi="Times New Roman" w:eastAsia="Times New Roman" w:cs="Times New Roman"/>
                <w:b w:val="0"/>
                <w:color w:val="000000"/>
                <w:sz w:val="22"/>
              </w:rPr>
              <w:t>1,801</w:t>
            </w:r>
          </w:p>
        </w:tc>
        <w:tc>
          <w:tcPr>
            <w:tcW w:type="dxa" w:w="2948"/>
          </w:tcPr>
          <w:p>
            <w:pPr>
              <w:spacing w:line="240" w:lineRule="auto" w:before="40" w:after="40"/>
            </w:pPr>
            <w:r>
              <w:rPr>
                <w:rFonts w:ascii="Times New Roman" w:hAnsi="Times New Roman" w:eastAsia="Times New Roman" w:cs="Times New Roman"/>
                <w:b w:val="0"/>
                <w:color w:val="000000"/>
                <w:sz w:val="22"/>
              </w:rPr>
              <w:t>1,501</w:t>
            </w:r>
          </w:p>
        </w:tc>
      </w:tr>
      <w:tr>
        <w:trPr>
          <w:cantSplit/>
        </w:trPr>
        <w:tc>
          <w:tcPr>
            <w:tcW w:type="dxa" w:w="3458"/>
          </w:tcPr>
          <w:p>
            <w:pPr>
              <w:spacing w:line="240" w:lineRule="auto" w:before="40" w:after="40"/>
            </w:pPr>
            <w:r>
              <w:rPr>
                <w:rFonts w:ascii="Times New Roman" w:hAnsi="Times New Roman" w:eastAsia="Times New Roman" w:cs="Times New Roman"/>
                <w:b w:val="0"/>
                <w:color w:val="000000"/>
                <w:sz w:val="22"/>
              </w:rPr>
              <w:t>AR + ESI + NFCI</w:t>
            </w:r>
          </w:p>
        </w:tc>
        <w:tc>
          <w:tcPr>
            <w:tcW w:type="dxa" w:w="2948"/>
          </w:tcPr>
          <w:p>
            <w:pPr>
              <w:spacing w:line="240" w:lineRule="auto" w:before="40" w:after="40"/>
            </w:pPr>
            <w:r>
              <w:rPr>
                <w:rFonts w:ascii="Times New Roman" w:hAnsi="Times New Roman" w:eastAsia="Times New Roman" w:cs="Times New Roman"/>
                <w:b w:val="0"/>
                <w:color w:val="000000"/>
                <w:sz w:val="22"/>
              </w:rPr>
              <w:t>1,634</w:t>
            </w:r>
          </w:p>
        </w:tc>
        <w:tc>
          <w:tcPr>
            <w:tcW w:type="dxa" w:w="2948"/>
          </w:tcPr>
          <w:p>
            <w:pPr>
              <w:spacing w:line="240" w:lineRule="auto" w:before="40" w:after="40"/>
            </w:pPr>
            <w:r>
              <w:rPr>
                <w:rFonts w:ascii="Times New Roman" w:hAnsi="Times New Roman" w:eastAsia="Times New Roman" w:cs="Times New Roman"/>
                <w:b w:val="0"/>
                <w:color w:val="000000"/>
                <w:sz w:val="22"/>
              </w:rPr>
              <w:t>1,152</w:t>
            </w:r>
          </w:p>
        </w:tc>
      </w:tr>
    </w:tbl>
    <w:p>
      <w:pPr>
        <w:spacing w:after="0"/>
      </w:pPr>
    </w:p>
    <w:p>
      <w:pPr>
        <w:widowControl/>
      </w:pPr>
      <w:r>
        <w:rPr>
          <w:rFonts w:ascii="Times New Roman" w:hAnsi="Times New Roman" w:eastAsia="Times New Roman" w:cs="Times New Roman"/>
          <w:color w:val="000000"/>
          <w:sz w:val="24"/>
        </w:rPr>
        <w:t>Источник: мои расчёты. Средняя квантильная потеря; меньше — лучше. Оцениваемые кварталы происхождения прогнозов: 2011Q2–2025Q3 при h=1, 2011Q2–2024Q4 при h=4. Все конечные цели не позднее 2025Q4.</w:t>
      </w:r>
    </w:p>
    <w:p>
      <w:pPr>
        <w:widowControl/>
      </w:pPr>
      <w:r>
        <w:rPr>
          <w:rFonts w:ascii="Times New Roman" w:hAnsi="Times New Roman" w:eastAsia="Times New Roman" w:cs="Times New Roman"/>
          <w:color w:val="000000"/>
          <w:sz w:val="24"/>
        </w:rPr>
        <w:t>При h=1 добавление NFCI снижает потерю относительно AR + ESI на 9,2%, но потеря остаётся выше HIST на 20,8%. При h=4 выигрыш относительно базы равен 23,2%, а проигрыш HIST — 54,1%.</w:t>
      </w:r>
    </w:p>
    <w:p>
      <w:pPr>
        <w:widowControl/>
      </w:pPr>
      <w:r>
        <w:rPr>
          <w:rFonts w:ascii="Times New Roman" w:hAnsi="Times New Roman" w:eastAsia="Times New Roman" w:cs="Times New Roman"/>
          <w:color w:val="000000"/>
          <w:sz w:val="24"/>
        </w:rPr>
        <w:t>Для фиксированного rolling52 использую безусловный частный случай подхода Giacomini и White: постоянный инструмент, HAC с лагами 4 и 8. Три сравнения h=1 корректируются по Holm. При основном лаге скорректированное p ≈ 0,795: подтверждения превосходства NFCI нет. Это асимптотическая вспомогательная проверка; специальный тест Amburgey–McCracken для расширяющихся вложенных QR с пересмотрами не реализован и его результат не заявляется.</w:t>
      </w:r>
    </w:p>
    <w:p>
      <w:r>
        <w:br w:type="page"/>
      </w:r>
    </w:p>
    <w:p>
      <w:pPr>
        <w:keepNext/>
      </w:pPr>
      <w:r>
        <w:rPr>
          <w:rFonts w:ascii="Times New Roman" w:hAnsi="Times New Roman" w:eastAsia="Times New Roman" w:cs="Times New Roman"/>
          <w:b/>
          <w:color w:val="000000"/>
          <w:sz w:val="26"/>
        </w:rPr>
        <w:t>Устойчивость и ограничения результатов</w:t>
      </w:r>
    </w:p>
    <w:p>
      <w:pPr>
        <w:widowControl/>
      </w:pPr>
      <w:r>
        <w:rPr>
          <w:rFonts w:ascii="Times New Roman" w:hAnsi="Times New Roman" w:eastAsia="Times New Roman" w:cs="Times New Roman"/>
          <w:color w:val="000000"/>
          <w:sz w:val="24"/>
        </w:rPr>
        <w:t>В расширяющемся окне одна дата — 2020Q4 — даёт более 100% суммарного выигрыша NFCI относительно базы. После её удаления только из оценки отношение потерь NFCI/база становится 1,047 при h=1 и 1,395 при h=4: выигрыш меняется на проигрыш. При этом HIST лучше NFCI после удаления любой одной даты на обоих горизонтах.</w:t>
      </w:r>
    </w:p>
    <w:p>
      <w:pPr>
        <w:widowControl/>
      </w:pPr>
      <w:r>
        <w:rPr>
          <w:rFonts w:ascii="Times New Roman" w:hAnsi="Times New Roman" w:eastAsia="Times New Roman" w:cs="Times New Roman"/>
          <w:color w:val="000000"/>
          <w:sz w:val="24"/>
        </w:rPr>
        <w:t>Причина требует осторожной интерпретации. На 2020Q4 лаговый рост в исторической версии равен около 47,0 в годовом логарифмическом выражении, тогда как прежний максимум обучения около 4,93. Регрессия экстраполирует далеко за обучающий диапазон. NFCI смягчает завышение прогноза, но это ещё не доказательство устойчивой самостоятельной информации США.</w:t>
      </w:r>
    </w:p>
    <w:tbl>
      <w:tblPr>
        <w:tblStyle w:val="TableGrid"/>
        <w:tblW w:type="auto" w:w="0"/>
        <w:tblLayout w:type="fixed"/>
        <w:tblLook w:firstColumn="1" w:firstRow="1" w:lastColumn="0" w:lastRow="0" w:noHBand="0" w:noVBand="1" w:val="04A0"/>
      </w:tblPr>
      <w:tblGrid>
        <w:gridCol w:w="4592"/>
        <w:gridCol w:w="2381"/>
        <w:gridCol w:w="2381"/>
      </w:tblGrid>
      <w:tr>
        <w:trPr>
          <w:tblHeader/>
          <w:cantSplit/>
        </w:trPr>
        <w:tc>
          <w:tcPr>
            <w:tcW w:type="dxa" w:w="4592"/>
          </w:tcPr>
          <w:p>
            <w:pPr>
              <w:spacing w:line="240" w:lineRule="auto" w:before="40" w:after="40"/>
            </w:pPr>
            <w:r>
              <w:rPr>
                <w:rFonts w:ascii="Times New Roman" w:hAnsi="Times New Roman" w:eastAsia="Times New Roman" w:cs="Times New Roman"/>
                <w:b/>
                <w:color w:val="000000"/>
                <w:sz w:val="22"/>
              </w:rPr>
              <w:t>Проверка</w:t>
            </w:r>
          </w:p>
        </w:tc>
        <w:tc>
          <w:tcPr>
            <w:tcW w:type="dxa" w:w="2381"/>
          </w:tcPr>
          <w:p>
            <w:pPr>
              <w:spacing w:line="240" w:lineRule="auto" w:before="40" w:after="40"/>
            </w:pPr>
            <w:r>
              <w:rPr>
                <w:rFonts w:ascii="Times New Roman" w:hAnsi="Times New Roman" w:eastAsia="Times New Roman" w:cs="Times New Roman"/>
                <w:b/>
                <w:color w:val="000000"/>
                <w:sz w:val="22"/>
              </w:rPr>
              <w:t>NFCI/база, h=1</w:t>
            </w:r>
          </w:p>
        </w:tc>
        <w:tc>
          <w:tcPr>
            <w:tcW w:type="dxa" w:w="2381"/>
          </w:tcPr>
          <w:p>
            <w:pPr>
              <w:spacing w:line="240" w:lineRule="auto" w:before="40" w:after="40"/>
            </w:pPr>
            <w:r>
              <w:rPr>
                <w:rFonts w:ascii="Times New Roman" w:hAnsi="Times New Roman" w:eastAsia="Times New Roman" w:cs="Times New Roman"/>
                <w:b/>
                <w:color w:val="000000"/>
                <w:sz w:val="22"/>
              </w:rPr>
              <w:t>NFCI/база, h=4</w:t>
            </w:r>
          </w:p>
        </w:tc>
      </w:tr>
      <w:tr>
        <w:trPr>
          <w:cantSplit/>
        </w:trPr>
        <w:tc>
          <w:tcPr>
            <w:tcW w:type="dxa" w:w="4592"/>
          </w:tcPr>
          <w:p>
            <w:pPr>
              <w:spacing w:line="240" w:lineRule="auto" w:before="40" w:after="40"/>
            </w:pPr>
            <w:r>
              <w:rPr>
                <w:rFonts w:ascii="Times New Roman" w:hAnsi="Times New Roman" w:eastAsia="Times New Roman" w:cs="Times New Roman"/>
                <w:b w:val="0"/>
                <w:color w:val="000000"/>
                <w:sz w:val="22"/>
              </w:rPr>
              <w:t>Расширяющееся окно</w:t>
            </w:r>
          </w:p>
        </w:tc>
        <w:tc>
          <w:tcPr>
            <w:tcW w:type="dxa" w:w="2381"/>
          </w:tcPr>
          <w:p>
            <w:pPr>
              <w:spacing w:line="240" w:lineRule="auto" w:before="40" w:after="40"/>
            </w:pPr>
            <w:r>
              <w:rPr>
                <w:rFonts w:ascii="Times New Roman" w:hAnsi="Times New Roman" w:eastAsia="Times New Roman" w:cs="Times New Roman"/>
                <w:b w:val="0"/>
                <w:color w:val="000000"/>
                <w:sz w:val="22"/>
              </w:rPr>
              <w:t>0,908</w:t>
            </w:r>
          </w:p>
        </w:tc>
        <w:tc>
          <w:tcPr>
            <w:tcW w:type="dxa" w:w="2381"/>
          </w:tcPr>
          <w:p>
            <w:pPr>
              <w:spacing w:line="240" w:lineRule="auto" w:before="40" w:after="40"/>
            </w:pPr>
            <w:r>
              <w:rPr>
                <w:rFonts w:ascii="Times New Roman" w:hAnsi="Times New Roman" w:eastAsia="Times New Roman" w:cs="Times New Roman"/>
                <w:b w:val="0"/>
                <w:color w:val="000000"/>
                <w:sz w:val="22"/>
              </w:rPr>
              <w:t>0,768</w:t>
            </w:r>
          </w:p>
        </w:tc>
      </w:tr>
      <w:tr>
        <w:trPr>
          <w:cantSplit/>
        </w:trPr>
        <w:tc>
          <w:tcPr>
            <w:tcW w:type="dxa" w:w="4592"/>
          </w:tcPr>
          <w:p>
            <w:pPr>
              <w:spacing w:line="240" w:lineRule="auto" w:before="40" w:after="40"/>
            </w:pPr>
            <w:r>
              <w:rPr>
                <w:rFonts w:ascii="Times New Roman" w:hAnsi="Times New Roman" w:eastAsia="Times New Roman" w:cs="Times New Roman"/>
                <w:b w:val="0"/>
                <w:color w:val="000000"/>
                <w:sz w:val="22"/>
              </w:rPr>
              <w:t>Скользящее окно 52</w:t>
            </w:r>
          </w:p>
        </w:tc>
        <w:tc>
          <w:tcPr>
            <w:tcW w:type="dxa" w:w="2381"/>
          </w:tcPr>
          <w:p>
            <w:pPr>
              <w:spacing w:line="240" w:lineRule="auto" w:before="40" w:after="40"/>
            </w:pPr>
            <w:r>
              <w:rPr>
                <w:rFonts w:ascii="Times New Roman" w:hAnsi="Times New Roman" w:eastAsia="Times New Roman" w:cs="Times New Roman"/>
                <w:b w:val="0"/>
                <w:color w:val="000000"/>
                <w:sz w:val="22"/>
              </w:rPr>
              <w:t>0,731</w:t>
            </w:r>
          </w:p>
        </w:tc>
        <w:tc>
          <w:tcPr>
            <w:tcW w:type="dxa" w:w="2381"/>
          </w:tcPr>
          <w:p>
            <w:pPr>
              <w:spacing w:line="240" w:lineRule="auto" w:before="40" w:after="40"/>
            </w:pPr>
            <w:r>
              <w:rPr>
                <w:rFonts w:ascii="Times New Roman" w:hAnsi="Times New Roman" w:eastAsia="Times New Roman" w:cs="Times New Roman"/>
                <w:b w:val="0"/>
                <w:color w:val="000000"/>
                <w:sz w:val="22"/>
              </w:rPr>
              <w:t>1,036</w:t>
            </w:r>
          </w:p>
        </w:tc>
      </w:tr>
      <w:tr>
        <w:trPr>
          <w:cantSplit/>
        </w:trPr>
        <w:tc>
          <w:tcPr>
            <w:tcW w:type="dxa" w:w="4592"/>
          </w:tcPr>
          <w:p>
            <w:pPr>
              <w:spacing w:line="240" w:lineRule="auto" w:before="40" w:after="40"/>
            </w:pPr>
            <w:r>
              <w:rPr>
                <w:rFonts w:ascii="Times New Roman" w:hAnsi="Times New Roman" w:eastAsia="Times New Roman" w:cs="Times New Roman"/>
                <w:b w:val="0"/>
                <w:color w:val="000000"/>
                <w:sz w:val="22"/>
              </w:rPr>
              <w:t>Без пандемийных целей в обучении</w:t>
            </w:r>
          </w:p>
        </w:tc>
        <w:tc>
          <w:tcPr>
            <w:tcW w:type="dxa" w:w="2381"/>
          </w:tcPr>
          <w:p>
            <w:pPr>
              <w:spacing w:line="240" w:lineRule="auto" w:before="40" w:after="40"/>
            </w:pPr>
            <w:r>
              <w:rPr>
                <w:rFonts w:ascii="Times New Roman" w:hAnsi="Times New Roman" w:eastAsia="Times New Roman" w:cs="Times New Roman"/>
                <w:b w:val="0"/>
                <w:color w:val="000000"/>
                <w:sz w:val="22"/>
              </w:rPr>
              <w:t>0,958</w:t>
            </w:r>
          </w:p>
        </w:tc>
        <w:tc>
          <w:tcPr>
            <w:tcW w:type="dxa" w:w="2381"/>
          </w:tcPr>
          <w:p>
            <w:pPr>
              <w:spacing w:line="240" w:lineRule="auto" w:before="40" w:after="40"/>
            </w:pPr>
            <w:r>
              <w:rPr>
                <w:rFonts w:ascii="Times New Roman" w:hAnsi="Times New Roman" w:eastAsia="Times New Roman" w:cs="Times New Roman"/>
                <w:b w:val="0"/>
                <w:color w:val="000000"/>
                <w:sz w:val="22"/>
              </w:rPr>
              <w:t>1,188</w:t>
            </w:r>
          </w:p>
        </w:tc>
      </w:tr>
      <w:tr>
        <w:trPr>
          <w:cantSplit/>
        </w:trPr>
        <w:tc>
          <w:tcPr>
            <w:tcW w:type="dxa" w:w="4592"/>
          </w:tcPr>
          <w:p>
            <w:pPr>
              <w:spacing w:line="240" w:lineRule="auto" w:before="40" w:after="40"/>
            </w:pPr>
            <w:r>
              <w:rPr>
                <w:rFonts w:ascii="Times New Roman" w:hAnsi="Times New Roman" w:eastAsia="Times New Roman" w:cs="Times New Roman"/>
                <w:b w:val="0"/>
                <w:color w:val="000000"/>
                <w:sz w:val="22"/>
              </w:rPr>
              <w:t>Без одной даты 2020Q4 в оценке</w:t>
            </w:r>
          </w:p>
        </w:tc>
        <w:tc>
          <w:tcPr>
            <w:tcW w:type="dxa" w:w="2381"/>
          </w:tcPr>
          <w:p>
            <w:pPr>
              <w:spacing w:line="240" w:lineRule="auto" w:before="40" w:after="40"/>
            </w:pPr>
            <w:r>
              <w:rPr>
                <w:rFonts w:ascii="Times New Roman" w:hAnsi="Times New Roman" w:eastAsia="Times New Roman" w:cs="Times New Roman"/>
                <w:b w:val="0"/>
                <w:color w:val="000000"/>
                <w:sz w:val="22"/>
              </w:rPr>
              <w:t>1,047</w:t>
            </w:r>
          </w:p>
        </w:tc>
        <w:tc>
          <w:tcPr>
            <w:tcW w:type="dxa" w:w="2381"/>
          </w:tcPr>
          <w:p>
            <w:pPr>
              <w:spacing w:line="240" w:lineRule="auto" w:before="40" w:after="40"/>
            </w:pPr>
            <w:r>
              <w:rPr>
                <w:rFonts w:ascii="Times New Roman" w:hAnsi="Times New Roman" w:eastAsia="Times New Roman" w:cs="Times New Roman"/>
                <w:b w:val="0"/>
                <w:color w:val="000000"/>
                <w:sz w:val="22"/>
              </w:rPr>
              <w:t>1,395</w:t>
            </w:r>
          </w:p>
        </w:tc>
      </w:tr>
    </w:tbl>
    <w:p>
      <w:pPr>
        <w:spacing w:after="0"/>
      </w:pPr>
    </w:p>
    <w:p>
      <w:pPr>
        <w:widowControl/>
      </w:pPr>
      <w:r>
        <w:rPr>
          <w:rFonts w:ascii="Times New Roman" w:hAnsi="Times New Roman" w:eastAsia="Times New Roman" w:cs="Times New Roman"/>
          <w:color w:val="000000"/>
          <w:sz w:val="24"/>
        </w:rPr>
        <w:t>Значение меньше единицы означает меньшую потерю NFCI. Пандемия не является темой исследования: проверка показывает чувствительность модели к экстремальному эпизоду. Во всех основных результатах пандемийные даты сохранены.</w:t>
      </w:r>
    </w:p>
    <w:p>
      <w:pPr>
        <w:widowControl/>
      </w:pPr>
      <w:r>
        <w:rPr>
          <w:rFonts w:ascii="Times New Roman" w:hAnsi="Times New Roman" w:eastAsia="Times New Roman" w:cs="Times New Roman"/>
          <w:color w:val="000000"/>
          <w:sz w:val="24"/>
        </w:rPr>
        <w:t>При замене только исторического NFCI пересмотренной версией из первоначального архива средняя потеря улучшается. В расширяющемся окне историческая версия даёт потерю примерно на 3,0% выше при h=1 и на 29,2% выше при h=4. Это описательный эффект версии индекса при одинаковых европейских данных и целях, не причинная оценка пересмотров.</w:t>
      </w:r>
    </w:p>
    <w:p>
      <w:pPr>
        <w:widowControl/>
      </w:pPr>
      <w:r>
        <w:rPr>
          <w:rFonts w:ascii="Times New Roman" w:hAnsi="Times New Roman" w:eastAsia="Times New Roman" w:cs="Times New Roman"/>
          <w:color w:val="000000"/>
          <w:sz w:val="24"/>
        </w:rPr>
        <w:t>Калибровка слабая: фактический рост ниже прогнозного дециля NFCI в 27,6% случаев при h=1 и 47,3% при h=4 вместо ориентира 10%. Модель пока нельзя рекомендовать как самостоятельный надёжный инструмент измерения риска.</w:t>
      </w:r>
    </w:p>
    <w:p>
      <w:pPr>
        <w:widowControl/>
      </w:pPr>
      <w:r>
        <w:rPr>
          <w:rFonts w:ascii="Times New Roman" w:hAnsi="Times New Roman" w:eastAsia="Times New Roman" w:cs="Times New Roman"/>
          <w:color w:val="000000"/>
          <w:sz w:val="24"/>
        </w:rPr>
        <w:t>В подпериоде целей 2022–2025 при h=1 NFCI немного хуже базы, а при h=4 лучше; наблюдений всего 16 и 13. По всем четырём моделям в этом подпериоде нет ни одного нарушения нижнего дециля. Такие результаты не подтверждают устойчивого преимущества. Исключение четырёх ремонтируемых дат сохраняет общий вывод. Проверены также 144 сценарных расчёта округления ВВП: максимальное изменение средней потери около 0,000051.</w:t>
      </w:r>
    </w:p>
    <w:p>
      <w:r>
        <w:br w:type="page"/>
      </w:r>
    </w:p>
    <w:p>
      <w:pPr>
        <w:keepNext/>
      </w:pPr>
      <w:r>
        <w:rPr>
          <w:rFonts w:ascii="Times New Roman" w:hAnsi="Times New Roman" w:eastAsia="Times New Roman" w:cs="Times New Roman"/>
          <w:b/>
          <w:color w:val="000000"/>
          <w:sz w:val="26"/>
        </w:rPr>
        <w:t>Ближайшие научные работы и отличие исследования</w:t>
      </w:r>
    </w:p>
    <w:p>
      <w:pPr>
        <w:widowControl/>
      </w:pPr>
      <w:r>
        <w:rPr>
          <w:rFonts w:ascii="Times New Roman" w:hAnsi="Times New Roman" w:eastAsia="Times New Roman" w:cs="Times New Roman"/>
          <w:color w:val="000000"/>
          <w:sz w:val="24"/>
        </w:rPr>
        <w:t>1. Figueres J. M., Jarociński M. (2020). Vulnerable growth in the euro area: Measuring the financial conditions. Economics Letters. DOI: 10.1016/j.econlet.2020.109126. Уже исследуют GaR еврозоны и выбор европейского финансового индекса. Мой вопрос уже: добавляет ли иностранный NFCI информацию после ESI при исторических версиях и простых ориентирах.</w:t>
      </w:r>
    </w:p>
    <w:p>
      <w:pPr>
        <w:widowControl/>
      </w:pPr>
      <w:r>
        <w:rPr>
          <w:rFonts w:ascii="Times New Roman" w:hAnsi="Times New Roman" w:eastAsia="Times New Roman" w:cs="Times New Roman"/>
          <w:color w:val="000000"/>
          <w:sz w:val="24"/>
        </w:rPr>
        <w:t>2. Ferrara L., Mogliani M., Sahuc J.-G. (2022). High-frequency monitoring of growth at risk. International Journal of Forecasting. DOI: 10.1016/j.ijforecast.2021.06.010. Уже используют винтажи ВВП еврозоны и календарь публикаций в Bayesian MIDAS. Моя работа не первая проверка GaR еврозоны в реальном времени; её отличие — прозрачное квартальное сравнение американского сигнала.</w:t>
      </w:r>
    </w:p>
    <w:p>
      <w:pPr>
        <w:widowControl/>
      </w:pPr>
      <w:r>
        <w:rPr>
          <w:rFonts w:ascii="Times New Roman" w:hAnsi="Times New Roman" w:eastAsia="Times New Roman" w:cs="Times New Roman"/>
          <w:color w:val="000000"/>
          <w:sz w:val="24"/>
        </w:rPr>
        <w:t>3. Amburgey A., McCracken M. (2023). On the real-time predictive content of financial condition indices for growth. Journal of Applied Econometrics. DOI: 10.1002/jae.2943. Основной образец по винтажам NFCI и вложенным квантильным моделям. Перенос на еврозону представляет прикладное расширение, а не новый метод; их специальная теория тестов не приписывается нашему расчёту.</w:t>
      </w:r>
    </w:p>
    <w:p>
      <w:pPr>
        <w:widowControl/>
      </w:pPr>
      <w:r>
        <w:rPr>
          <w:rFonts w:ascii="Times New Roman" w:hAnsi="Times New Roman" w:eastAsia="Times New Roman" w:cs="Times New Roman"/>
          <w:color w:val="000000"/>
          <w:sz w:val="24"/>
        </w:rPr>
        <w:t>4. Plaasch J., Röthig A. (2025). A Growth-at-Risk model for the German economy. Bundesbank Technical Paper 05/2025. Уже включают американский NFCI вместе с внутренними ожиданиями и стрессом. Само включение NFCI в европейскую модель не ново. Отличие моего дизайна — агрегат еврозоны, четыре фиксированных ориентира и явная проверка того, откуда возникает средний выигрыш.</w:t>
      </w:r>
    </w:p>
    <w:p>
      <w:pPr>
        <w:widowControl/>
      </w:pPr>
      <w:r>
        <w:rPr>
          <w:rFonts w:ascii="Times New Roman" w:hAnsi="Times New Roman" w:eastAsia="Times New Roman" w:cs="Times New Roman"/>
          <w:color w:val="000000"/>
          <w:sz w:val="24"/>
        </w:rPr>
        <w:t>5. Plagborg-Møller M., Reichlin L., Ricco G., Hasenzagl T. (2020). When Is Growth at Risk? Brookings Papers on Economic Activity. DOI: 10.1353/eca.2020.0002. Показывают ограниченную устойчивость прогнозов рисков и роль реальных индикаторов. Наш отрицательный результат не первый; его ценность должна опираться на конкретный воспроизводимый международный эксперимент.</w:t>
      </w:r>
    </w:p>
    <w:p>
      <w:pPr>
        <w:widowControl/>
      </w:pPr>
      <w:r>
        <w:rPr>
          <w:rFonts w:ascii="Times New Roman" w:hAnsi="Times New Roman" w:eastAsia="Times New Roman" w:cs="Times New Roman"/>
          <w:color w:val="000000"/>
          <w:sz w:val="24"/>
        </w:rPr>
        <w:t>6. Giacomini R., White H. (2006). Tests of Conditional Predictive Ability. Econometrica, 74(6), 1545–1578. DOI: 10.1111/j.1468-0262.2006.00718.x. Даёт основу сравнению прогнозных процедур при фиксированном окне, в том числе вложенных. В архив добавлена открытая рабочая версия 2003 года.</w:t>
      </w:r>
    </w:p>
    <w:p>
      <w:pPr>
        <w:widowControl/>
      </w:pPr>
      <w:r>
        <w:rPr>
          <w:rFonts w:ascii="Times New Roman" w:hAnsi="Times New Roman" w:eastAsia="Times New Roman" w:cs="Times New Roman"/>
          <w:color w:val="000000"/>
          <w:sz w:val="24"/>
        </w:rPr>
        <w:t>Дополнительный ориентир: Matheson T. (2011), IMF Working Paper 11/93, DOI: 10.5089/9781455253326.001. Финансовые связи США и еврозоны и вопросы пересмотров рассматривались задолго до этой работы. Для него проверены издательские метаданные и веб-изложение; скачанный полный PDF не заявляется.</w:t>
      </w:r>
    </w:p>
    <w:p>
      <w:pPr>
        <w:widowControl/>
      </w:pPr>
      <w:r>
        <w:rPr>
          <w:rFonts w:ascii="Times New Roman" w:hAnsi="Times New Roman" w:eastAsia="Times New Roman" w:cs="Times New Roman"/>
          <w:color w:val="000000"/>
          <w:sz w:val="24"/>
        </w:rPr>
        <w:t>Карточки остальных работ и доступные полные версии сохранены в архиве. Не все источники имеют скачанный полный текст; статусы доступа указаны отдельно в реестре. Совпадение с уже опубликованной работой нельзя исключить одним поиском, поэтому формулировка «впервые» не используется.</w:t>
      </w:r>
    </w:p>
    <w:p>
      <w:r>
        <w:br w:type="page"/>
      </w:r>
    </w:p>
    <w:p>
      <w:pPr>
        <w:keepNext/>
      </w:pPr>
      <w:r>
        <w:rPr>
          <w:rFonts w:ascii="Times New Roman" w:hAnsi="Times New Roman" w:eastAsia="Times New Roman" w:cs="Times New Roman"/>
          <w:b/>
          <w:color w:val="000000"/>
          <w:sz w:val="26"/>
        </w:rPr>
        <w:t>Вклад, структура и решение о начале написания</w:t>
      </w:r>
    </w:p>
    <w:p>
      <w:pPr>
        <w:widowControl/>
      </w:pPr>
      <w:r>
        <w:rPr>
          <w:rFonts w:ascii="Times New Roman" w:hAnsi="Times New Roman" w:eastAsia="Times New Roman" w:cs="Times New Roman"/>
          <w:color w:val="000000"/>
          <w:sz w:val="24"/>
        </w:rPr>
        <w:t>Предлагаю сформулировать вклад так: на архивных версиях американского NFCI и европейских макроданных проверяю переносимость известного результата о финансовых условиях на нижний хвост роста еврозоны; на одних датах отделяю добавочную информацию после ESI от превосходства над простыми ориентирами; показываю зависимость вывода от версии индекса, отдельной даты и калибровки.</w:t>
      </w:r>
    </w:p>
    <w:p>
      <w:pPr>
        <w:widowControl/>
      </w:pPr>
      <w:r>
        <w:rPr>
          <w:rFonts w:ascii="Times New Roman" w:hAnsi="Times New Roman" w:eastAsia="Times New Roman" w:cs="Times New Roman"/>
          <w:color w:val="000000"/>
          <w:sz w:val="24"/>
        </w:rPr>
        <w:t>Оригинальность умеренная и прикладная. Полученного материала достаточно для диплома и начала статьи в формате репликации и расширения. Оснований обещать публикацию или выдавать модель за новый метод нет. Дополнительных обязательных подготовительных шагов перед написанием не назначаю.</w:t>
      </w:r>
    </w:p>
    <w:p>
      <w:pPr>
        <w:widowControl/>
      </w:pPr>
      <w:r>
        <w:rPr>
          <w:rFonts w:ascii="Times New Roman" w:hAnsi="Times New Roman" w:eastAsia="Times New Roman" w:cs="Times New Roman"/>
          <w:color w:val="000000"/>
          <w:sz w:val="24"/>
        </w:rPr>
        <w:t>Предлагаемая структура диплома</w:t>
      </w:r>
    </w:p>
    <w:p>
      <w:pPr>
        <w:widowControl/>
      </w:pPr>
      <w:r>
        <w:rPr>
          <w:rFonts w:ascii="Times New Roman" w:hAnsi="Times New Roman" w:eastAsia="Times New Roman" w:cs="Times New Roman"/>
          <w:color w:val="000000"/>
          <w:sz w:val="24"/>
        </w:rPr>
        <w:t>Введение. Международная финансовая взаимозависимость; исследовательский вопрос; две отдельные гипотезы о базе и простых ориентирах; данные, метод, вклад и ограничения.</w:t>
      </w:r>
    </w:p>
    <w:p>
      <w:pPr>
        <w:widowControl/>
      </w:pPr>
      <w:r>
        <w:rPr>
          <w:rFonts w:ascii="Times New Roman" w:hAnsi="Times New Roman" w:eastAsia="Times New Roman" w:cs="Times New Roman"/>
          <w:color w:val="000000"/>
          <w:sz w:val="24"/>
        </w:rPr>
        <w:t>Глава 1. Теоретические основы международной передачи финансовых условий и рисков роста. Роль США и доллара, банковский и портфельный каналы, экономическая интерпретация нижнего хвоста, обзор GaR и винтажных прогнозных исследований.</w:t>
      </w:r>
    </w:p>
    <w:p>
      <w:pPr>
        <w:widowControl/>
      </w:pPr>
      <w:r>
        <w:rPr>
          <w:rFonts w:ascii="Times New Roman" w:hAnsi="Times New Roman" w:eastAsia="Times New Roman" w:cs="Times New Roman"/>
          <w:color w:val="000000"/>
          <w:sz w:val="24"/>
        </w:rPr>
        <w:t>Глава 2. Эмпирическое исследование. Источники, география, календарь, восстановление пробелов; четыре модели, общая выборка и квантильная потеря; центральные сравнения; версии NFCI, экстремальные даты, окна, калибровка и ограниченная статистическая проверка.</w:t>
      </w:r>
    </w:p>
    <w:p>
      <w:pPr>
        <w:widowControl/>
      </w:pPr>
      <w:r>
        <w:rPr>
          <w:rFonts w:ascii="Times New Roman" w:hAnsi="Times New Roman" w:eastAsia="Times New Roman" w:cs="Times New Roman"/>
          <w:color w:val="000000"/>
          <w:sz w:val="24"/>
        </w:rPr>
        <w:t>Глава 3. Рекомендации по мониторингу международных рисков. Использование американского сигнала как дополнительного индикатора; необходимость простого ориентира; контроль версий, экстраполяции и калибровки; границы применения результатов без выводов о необходимой ставке ЕЦБ.</w:t>
      </w:r>
    </w:p>
    <w:p>
      <w:pPr>
        <w:widowControl/>
      </w:pPr>
      <w:r>
        <w:rPr>
          <w:rFonts w:ascii="Times New Roman" w:hAnsi="Times New Roman" w:eastAsia="Times New Roman" w:cs="Times New Roman"/>
          <w:color w:val="000000"/>
          <w:sz w:val="24"/>
        </w:rPr>
        <w:t>Заключение. Ответ на вопрос об условиях и устойчивости добавочной информативности. Список источников. Приложения: календарь 59 дат, 118 выпусков ESI, исходные версии, код, все прогнозы и проверки.</w:t>
      </w:r>
    </w:p>
    <w:p>
      <w:pPr>
        <w:widowControl/>
      </w:pPr>
      <w:r>
        <w:rPr>
          <w:rFonts w:ascii="Times New Roman" w:hAnsi="Times New Roman" w:eastAsia="Times New Roman" w:cs="Times New Roman"/>
          <w:color w:val="000000"/>
          <w:sz w:val="24"/>
        </w:rPr>
        <w:t>Прежнее сравнение NFCI и CISS США при европейском CISS сохраняю как отдельное ретроспективное дополнение. Исторические версии CISS для него не подтверждены. Новая основная база содержит ESI, поэтому не делаю вывод, что NFCI добавляет информацию после всех европейских финансовых индикаторов. Новую и старую постановки не объединяю в одну таблицу качества.</w:t>
      </w:r>
    </w:p>
    <w:p>
      <w:pPr>
        <w:widowControl/>
      </w:pPr>
      <w:r>
        <w:rPr>
          <w:rFonts w:ascii="Times New Roman" w:hAnsi="Times New Roman" w:eastAsia="Times New Roman" w:cs="Times New Roman"/>
          <w:color w:val="000000"/>
          <w:sz w:val="24"/>
        </w:rPr>
        <w:t>В новом пилоте сохранены 1695 прогнозов основного эксперимента, проверочных окон и версий NFCI; дополнительно — 144 расчёта округления. Проверены полнота предикторов на 59 датах, календарь, одинаковая обучающая выборка, два алгоритма решения квантильной задачи и отсутствие влияния будущих значений. Данные и расчёт воспроизводятся без сети.</w:t>
      </w:r>
    </w:p>
    <w:p>
      <w:pPr>
        <w:widowControl/>
      </w:pPr>
      <w:r>
        <w:rPr>
          <w:rFonts w:ascii="Times New Roman" w:hAnsi="Times New Roman" w:eastAsia="Times New Roman" w:cs="Times New Roman"/>
          <w:color w:val="000000"/>
          <w:sz w:val="24"/>
        </w:rPr>
        <w:t>Моё решение: начинаем писать диплом в этой постановке. Статья строится вокруг ограниченной устойчивости дополнительного американского сигнала и качества прогнозной проверки. Главы диплома в данном этапе ещё не написаны.</w:t>
      </w:r>
    </w:p>
    <w:sectPr w:rsidR="00FC693F" w:rsidRPr="0006063C" w:rsidSect="00034616">
      <w:pgSz w:w="11906" w:h="16838"/>
      <w:pgMar w:top="1020" w:right="119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Финансовые условия США в прогнозировании рисков роста еврозоны: проверка перед написанием</dc:title>
  <dc:subject>Данные, модель, результаты и исследовательский вклад</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