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Финансовые условия США в прогнозировании рисков роста еврозоны</w:t>
      </w:r>
    </w:p>
    <w:p>
      <w:pPr>
        <w:ind w:firstLine="0"/>
        <w:jc w:val="center"/>
      </w:pPr>
      <w:r>
        <w:t>Ответы на замечания научного руководителя</w:t>
      </w:r>
    </w:p>
    <w:p>
      <w:pPr>
        <w:ind w:firstLine="0"/>
        <w:jc w:val="center"/>
      </w:pPr>
      <w:r>
        <w:t>16 октября 2026 года</w:t>
      </w:r>
    </w:p>
    <w:p>
      <w:pPr>
        <w:jc w:val="both"/>
      </w:pPr>
      <w:r>
        <w:t>Я предлагаю сохранить тему диплома и перейти к написанию на основе выполненной проверки. Ниже отдельно отвечаю на пять замечаний: объясняю международный механизм, уточняю доступность данных на дату прогноза, сопоставляю модели с простыми ориентирами, показываю влияние экстремальных наблюдений и формулирую вклад относительно литературы.</w:t>
      </w:r>
    </w:p>
    <w:p>
      <w:pPr>
        <w:jc w:val="both"/>
      </w:pPr>
      <w:r>
        <w:t>Основной исследовательский вопрос я уточнил следующим образом: улучшает ли NFCI США прогноз десятого процентиля роста реального ВВП еврозоны после учёта лагового роста и европейских экономических настроений при использовании исторически доступных версий данных и насколько устойчиво это улучшение относительно простых прогнозов?</w:t>
      </w:r>
    </w:p>
    <w:p>
      <w:pPr>
        <w:jc w:val="both"/>
      </w:pPr>
      <w:r>
        <w:t>Ответ по текущему эксперименту неоднозначный. NFCI улучшает европейскую регрессию в основном расширяющемся окне, но уступает историческому квантилю. Средний выигрыш относительно регрессии зависит от одной экстремальной даты; калибровка прогнозируемого дециля слабая. Поэтому результат работы будет состоять в оценке условий и устойчивости дополнительной информации, без исходного требования получить превосходство американского индекса.</w:t>
      </w:r>
    </w:p>
    <w:p>
      <w:pPr>
        <w:pStyle w:val="Heading1"/>
      </w:pPr>
      <w:r>
        <w:t>1 Международные финансовые связи и механизм передачи</w:t>
      </w:r>
    </w:p>
    <w:p>
      <w:pPr>
        <w:jc w:val="both"/>
      </w:pPr>
      <w:r>
        <w:rPr>
          <w:b/>
        </w:rPr>
        <w:t>Замечание руководителя: раскрыть, почему финансовые условия США могут содержать информацию о рисках роста еврозоны, и усилить связь с мировой экономикой.</w:t>
      </w:r>
    </w:p>
    <w:p>
      <w:pPr>
        <w:jc w:val="both"/>
      </w:pPr>
      <w:r>
        <w:t>В теоретической главе рассматриваю США как один из центров международной финансовой системы. Переоценка риска на американских рынках может сопровождаться изменением глобальной готовности инвесторов принимать риск, стоимости долларового фондирования и распределения капитала между странами. Для еврозоны это создаёт возможный внешний источник информации о будущих неблагоприятных исходах роста [9–12].</w:t>
      </w:r>
    </w:p>
    <w:p>
      <w:pPr>
        <w:jc w:val="both"/>
      </w:pPr>
      <w:r>
        <w:t>Первый механизм связан с банковским финансированием. Европейские банки и компании используют международные рынки капитала, в том числе долларовое финансирование. Ухудшение условий фондирования способно ограничивать предложение кредита и увеличивать его стоимость. Это может отражаться на инвестициях, оборотном капитале и выпуске. Работу Bruno и Shin использую для объяснения связи трансграничной банковской деятельности и глобальной ликвидности, без утверждения, что конкретно этот канал измерен моей регрессией [10].</w:t>
      </w:r>
    </w:p>
    <w:p>
      <w:pPr>
        <w:jc w:val="both"/>
      </w:pPr>
      <w:r>
        <w:t>Второй механизм связан с портфельными потоками и переоценкой активов. Изменение ставок и премий за риск в США может сопровождаться перераспределением международных портфелей, ростом требуемой доходности европейских облигаций и снижением стоимости залога. Через стоимость внешнего финансирования и балансы заёмщиков это потенциально усиливает риск слабого роста. Здесь опираюсь на работы о глобальном финансовом цикле и международных инвестиционных фондах [9, 11, 12].</w:t>
      </w:r>
    </w:p>
    <w:p>
      <w:pPr>
        <w:jc w:val="both"/>
      </w:pPr>
      <w:r>
        <w:t>NFCI объединяет информацию о риске, кредите и финансовом рычаге в США. Он может отражать как американские, так и общие глобальные факторы. Положительный прогнозный результат был бы совместим с международной передачей финансовых условий, но сам по себе не доказал бы направление передачи, независимый эффект политики ФРС или влияние конкретного потока капитала. В модели нет идентифицированного внешнего шока и отдельных уравнений банковского или портфельного канала.</w:t>
      </w:r>
    </w:p>
    <w:p>
      <w:pPr>
        <w:jc w:val="both"/>
      </w:pPr>
      <w:r>
        <w:t>При интерпретации эмпирики возвращаюсь к этой границе. Отсутствие устойчивого выигрыша NFCI означает ограниченную дополнительную полезность выбранного агрегата в данном дизайне. Из него нельзя заключить, что международные финансовые связи отсутствуют. Аналогично, выигрыш относительно одной европейской модели не позволяет приписать его исключительно финансовому каналу США: индекс может дублировать информацию об общем деловом цикле.</w:t>
      </w:r>
    </w:p>
    <w:p>
      <w:pPr>
        <w:pStyle w:val="Heading1"/>
      </w:pPr>
      <w:r>
        <w:t>2 Календарь прогнозов и доступность данных</w:t>
      </w:r>
    </w:p>
    <w:p>
      <w:pPr>
        <w:jc w:val="both"/>
      </w:pPr>
      <w:r>
        <w:rPr>
          <w:b/>
        </w:rPr>
        <w:t>Замечание руководителя: подробно описать информационный набор на каждую дату и исключить использование ещё не опубликованных агрегатов.</w:t>
      </w:r>
    </w:p>
    <w:p>
      <w:pPr>
        <w:jc w:val="both"/>
      </w:pPr>
      <w:r>
        <w:t>Вместо опоры только на сегодняшние пересмотренные ряды я сформировал отдельный основной эксперимент с историческими версиями ВВП, ESI и NFCI. Его информационный набор уже прежней расширенной базы с CISS: в основной модели учитываются лаговый рост и европейские экономические настроения. Поэтому вывод относится к дополнительной информации после ESI, а не после всех европейских финансовых индикаторов.</w:t>
      </w:r>
    </w:p>
    <w:tbl>
      <w:tblPr>
        <w:tblW w:type="auto" w:w="0"/>
        <w:jc w:val="center"/>
        <w:tblLayout w:type="fixed"/>
        <w:tblLook w:firstColumn="1" w:firstRow="1" w:lastColumn="0" w:lastRow="0" w:noHBand="0" w:noVBand="1" w:val="04A0"/>
      </w:tblPr>
      <w:tblGrid>
        <w:gridCol w:w="1531"/>
        <w:gridCol w:w="3515"/>
        <w:gridCol w:w="4309"/>
      </w:tblGrid>
      <w:tr>
        <w:trPr>
          <w:cantSplit/>
          <w:tblHeader/>
        </w:trPr>
        <w:tc>
          <w:tcPr>
            <w:tcW w:type="dxa" w:w="153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left"/>
            </w:pPr>
            <w:r>
              <w:rPr>
                <w:rFonts w:ascii="Times New Roman" w:hAnsi="Times New Roman"/>
                <w:b/>
                <w:sz w:val="22"/>
              </w:rPr>
              <w:t>Данные</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Источник и роль</w:t>
            </w:r>
          </w:p>
        </w:tc>
        <w:tc>
          <w:tcPr>
            <w:tcW w:type="dxa" w:w="430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Версия в основном эксперименте</w:t>
            </w:r>
          </w:p>
        </w:tc>
      </w:tr>
      <w:tr>
        <w:trPr>
          <w:cantSplit/>
        </w:trPr>
        <w:tc>
          <w:tcPr>
            <w:tcW w:type="dxa" w:w="153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ВВП еврозоны</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ECB Real Time Database</w:t>
              <w:br/>
              <w:t>RTD.Q.S0.S.G_GDPM_TO_C.E</w:t>
            </w:r>
          </w:p>
        </w:tc>
        <w:tc>
          <w:tcPr>
            <w:tcW w:type="dxa" w:w="430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Исторические уровни и опубликованные темпы; рост внутри одного снимка</w:t>
            </w:r>
          </w:p>
        </w:tc>
      </w:tr>
      <w:tr>
        <w:trPr>
          <w:cantSplit/>
        </w:trPr>
        <w:tc>
          <w:tcPr>
            <w:tcW w:type="dxa" w:w="153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ESI еврозоны</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ECB RTD</w:t>
              <w:br/>
              <w:t>RTD.M.S0.S.Y_ESIND.F</w:t>
              <w:br/>
              <w:t>Первоисточник — Еврокомиссия</w:t>
            </w:r>
          </w:p>
        </w:tc>
        <w:tc>
          <w:tcPr>
            <w:tcW w:type="dxa" w:w="430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Первые два месяца квартала; исторические снимки и опубликованные таблицы</w:t>
            </w:r>
          </w:p>
        </w:tc>
      </w:tr>
      <w:tr>
        <w:trPr>
          <w:cantSplit/>
        </w:trPr>
        <w:tc>
          <w:tcPr>
            <w:tcW w:type="dxa" w:w="153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NFCI США</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Chicago Fed через ALFRED</w:t>
              <w:br/>
              <w:t>Ряд NFCI</w:t>
            </w:r>
          </w:p>
        </w:tc>
        <w:tc>
          <w:tcPr>
            <w:tcW w:type="dxa" w:w="430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59 версий на концы кварталов с 2011Q2 по 2025Q4</w:t>
            </w:r>
          </w:p>
        </w:tc>
      </w:tr>
      <w:tr>
        <w:trPr>
          <w:cantSplit/>
        </w:trPr>
        <w:tc>
          <w:tcPr>
            <w:tcW w:type="dxa" w:w="153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CISS еврозоны и США</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ECB Data Portal</w:t>
            </w:r>
          </w:p>
        </w:tc>
        <w:tc>
          <w:tcPr>
            <w:tcW w:type="dxa" w:w="430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Пересмотренные ряды в дополнительном ретроспективном сравнении</w:t>
            </w:r>
          </w:p>
        </w:tc>
      </w:tr>
    </w:tbl>
    <w:p>
      <w:pPr>
        <w:spacing w:after="0"/>
      </w:pPr>
    </w:p>
    <w:p>
      <w:pPr>
        <w:jc w:val="both"/>
      </w:pPr>
      <w:r>
        <w:t>Общая квартальная история охватывает 1995Q1–2025Q4; обучение начинается с 1995Q3 после формирования лагов. Прогнозные даты начинаются с 2011Q2, поскольку NFCI и ANFCI стали публично выпускаться в апреле 2011 года. Более ранние значения финансового индекса допустимы как история, известная после запуска, но не как основание для якобы реально выпущенных до запуска прогнозов [13, 16].</w:t>
      </w:r>
    </w:p>
    <w:p>
      <w:pPr>
        <w:pStyle w:val="Heading2"/>
      </w:pPr>
      <w:r>
        <w:t>Как формируется прогноз</w:t>
      </w:r>
    </w:p>
    <w:p>
      <w:pPr>
        <w:jc w:val="both"/>
      </w:pPr>
      <w:r>
        <w:t>Для квартала t устанавливаю дату прогноза на 15-й календарный день после его окончания. Например, прогноз следующего квартала после 2025Q3 формируется 15 октября 2025 года. Это уже начало прогнозируемого квартала, а не прогноз на последний день предыдущего. Макроснимки отбираются с датой отсечения не позднее конца t и с подтверждённой публичной доступностью не позднее даты прогноза.</w:t>
      </w:r>
    </w:p>
    <w:p>
      <w:pPr>
        <w:jc w:val="both"/>
      </w:pPr>
      <w:r>
        <w:t>Сдвиг на 15 дней важен для декабрьских выпусков: дата внутреннего снимка может предшествовать реальной публикации бюллетеня в январе. Например, снимок 17 декабря 2025 года связан с бюллетенем от 15 января 2026 года. Его нельзя считать общедоступным 31 декабря только по технической дате в базе. Эта дата входит в календарь, но её прогноз не оценивается, поскольку цели основной проверки заканчиваются 2025Q4.</w:t>
      </w:r>
    </w:p>
    <w:p>
      <w:pPr>
        <w:jc w:val="both"/>
      </w:pPr>
      <w:r>
        <w:t>Для лагового роста использую ВВП кварталов t−1 и t−2 из одной исторической версии. ВВП квартала t не включаю в обучение. Для любого обучающего наблюдения с исходным кварталом s и горизонтом h должно выполняться s+h ≤ t−1. Это исключает обучение на ещё не завершившейся цели, даже если её позднейшее значение уже есть в современной выгрузке.</w:t>
      </w:r>
    </w:p>
    <w:p>
      <w:pPr>
        <w:jc w:val="both"/>
      </w:pPr>
      <w:r>
        <w:t>ESI равен среднему первых двух месяцев квартала t. NFCI равен среднему недель квартала t, для которых дата наблюдения плюс семь календарных дней не превышает конец t. Дополнительно беру сам ряд NFCI в версии на конец t. Таким образом, недельная дата наблюдения не отождествляется с датой доступности опубликованного значения.</w:t>
      </w:r>
    </w:p>
    <w:tbl>
      <w:tblPr>
        <w:tblW w:type="auto" w:w="0"/>
        <w:jc w:val="center"/>
        <w:tblLayout w:type="fixed"/>
        <w:tblLook w:firstColumn="1" w:firstRow="1" w:lastColumn="0" w:lastRow="0" w:noHBand="0" w:noVBand="1" w:val="04A0"/>
      </w:tblPr>
      <w:tblGrid>
        <w:gridCol w:w="3628"/>
        <w:gridCol w:w="5726"/>
      </w:tblGrid>
      <w:tr>
        <w:trPr>
          <w:cantSplit/>
          <w:tblHeader/>
        </w:trPr>
        <w:tc>
          <w:tcPr>
            <w:tcW w:type="dxa" w:w="36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left"/>
            </w:pPr>
            <w:r>
              <w:rPr>
                <w:rFonts w:ascii="Times New Roman" w:hAnsi="Times New Roman"/>
                <w:b/>
                <w:sz w:val="22"/>
              </w:rPr>
              <w:t>Пример для t = 2025Q3</w:t>
            </w:r>
          </w:p>
        </w:tc>
        <w:tc>
          <w:tcPr>
            <w:tcW w:type="dxa" w:w="572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Что используется</w:t>
            </w:r>
          </w:p>
        </w:tc>
      </w:tr>
      <w:tr>
        <w:trPr>
          <w:cantSplit/>
        </w:trPr>
        <w:tc>
          <w:tcPr>
            <w:tcW w:type="dxa" w:w="36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Дата формирования</w:t>
            </w:r>
          </w:p>
        </w:tc>
        <w:tc>
          <w:tcPr>
            <w:tcW w:type="dxa" w:w="572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15.10.2025</w:t>
            </w:r>
          </w:p>
        </w:tc>
      </w:tr>
      <w:tr>
        <w:trPr>
          <w:cantSplit/>
        </w:trPr>
        <w:tc>
          <w:tcPr>
            <w:tcW w:type="dxa" w:w="36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Макроэкономический снимок</w:t>
            </w:r>
          </w:p>
        </w:tc>
        <w:tc>
          <w:tcPr>
            <w:tcW w:type="dxa" w:w="572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10.09.2025; бюллетень опубликован 25.09.2025</w:t>
            </w:r>
          </w:p>
        </w:tc>
      </w:tr>
      <w:tr>
        <w:trPr>
          <w:cantSplit/>
        </w:trPr>
        <w:tc>
          <w:tcPr>
            <w:tcW w:type="dxa" w:w="36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Лаговый ВВП</w:t>
            </w:r>
          </w:p>
        </w:tc>
        <w:tc>
          <w:tcPr>
            <w:tcW w:type="dxa" w:w="572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2025Q2 и предшествующий квартал</w:t>
            </w:r>
          </w:p>
        </w:tc>
      </w:tr>
      <w:tr>
        <w:trPr>
          <w:cantSplit/>
        </w:trPr>
        <w:tc>
          <w:tcPr>
            <w:tcW w:type="dxa" w:w="36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ESI</w:t>
            </w:r>
          </w:p>
        </w:tc>
        <w:tc>
          <w:tcPr>
            <w:tcW w:type="dxa" w:w="572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Июль 95,7 и август 95,2; среднее 95,45</w:t>
            </w:r>
          </w:p>
        </w:tc>
      </w:tr>
      <w:tr>
        <w:trPr>
          <w:cantSplit/>
        </w:trPr>
        <w:tc>
          <w:tcPr>
            <w:tcW w:type="dxa" w:w="36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NFCI</w:t>
            </w:r>
          </w:p>
        </w:tc>
        <w:tc>
          <w:tcPr>
            <w:tcW w:type="dxa" w:w="572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Версия 30.09.2025; последняя использованная неделя 19.09.2025</w:t>
            </w:r>
          </w:p>
        </w:tc>
      </w:tr>
      <w:tr>
        <w:trPr>
          <w:cantSplit/>
        </w:trPr>
        <w:tc>
          <w:tcPr>
            <w:tcW w:type="dxa" w:w="36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Последняя допустимая цель обучения</w:t>
            </w:r>
          </w:p>
        </w:tc>
        <w:tc>
          <w:tcPr>
            <w:tcW w:type="dxa" w:w="572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Заканчивается не позже 2025Q2</w:t>
            </w:r>
          </w:p>
        </w:tc>
      </w:tr>
    </w:tbl>
    <w:p>
      <w:pPr>
        <w:spacing w:after="0"/>
      </w:pPr>
    </w:p>
    <w:p>
      <w:pPr>
        <w:pStyle w:val="Heading2"/>
      </w:pPr>
      <w:r>
        <w:t>Пробелы базы и пределы восстановления</w:t>
      </w:r>
    </w:p>
    <w:p>
      <w:pPr>
        <w:jc w:val="both"/>
      </w:pPr>
      <w:r>
        <w:t>Для 2001–2014 годов использую самостоятельные снимки из официального архива ECB, с консервативной верхней границей доступности — концом месяца выпуска Monthly Bulletin. Для 2015 года и далее сопоставляю даты RTD с календарём Economic Bulletin. Выполнены 32 сверки API с независимыми архивными снимками: различий значений в этих проверках нет. Проверены также 59 дат регулярного выпуска лагового ВВП и 118 фактических выпусков первых двух месяцев ESI.</w:t>
      </w:r>
    </w:p>
    <w:p>
      <w:pPr>
        <w:jc w:val="both"/>
      </w:pPr>
      <w:r>
        <w:t>Четыре пробела закрыты по опубликованным статистическим таблицам: июнь 2022 года, март и июнь 2023 года, сентябрь 2025 года. Для 2022Q1 использую напечатанные рост ВВП 0,6% квартал к кварталу и 5,4% год к году, переведённые в логарифмический рост. Уровень ВВП для этой точки не восстанавливаю предположением. Для ESI внесены доступные месяцы и опубликованные пересмотры ближайшей истории.</w:t>
      </w:r>
    </w:p>
    <w:p>
      <w:pPr>
        <w:jc w:val="both"/>
      </w:pPr>
      <w:r>
        <w:t>Удаление ряда из API не означает, что ранее опубликованные значения перестали быть известны. В период разрыва сохраняю последнюю доступную историю и добавляю новые значения из бюллетеней. При этом часть сохранённой истории ESI в 2023 году относится к прежнему составу еврозоны. Это несовершенство архива раскрываю отдельно и проверяю результат без двух соответствующих дат. RTD в основном эксперименте отражает исторический состав еврозоны, а не фиксированный EA20 прежнего расчёта.</w:t>
      </w:r>
    </w:p>
    <w:p>
      <w:pPr>
        <w:jc w:val="both"/>
      </w:pPr>
      <w:r>
        <w:t>Это консервативная процедура с ограниченной информацией, а не полная реконструкция всей информации рынка. На 15-й день следующего квартала третий месяц ESI и более свежий выпуск NFCI часто уже доступны, но в зафиксированную спецификацию они не включаются. Выполненные календарные проверки показывают отсутствие использования будущих событий в выбранном наборе, а не его максимальную полноту.</w:t>
      </w:r>
    </w:p>
    <w:p>
      <w:pPr>
        <w:jc w:val="both"/>
      </w:pPr>
      <w:r>
        <w:t>Для проверки качества фактический рост беру из последней доступной полной RTD-информации не позднее конца второго квартала после целевого квартала, то есть примерно через шесть месяцев. Это не первая флэш-оценка ВВП. В отдельной проверке оцениваю те же прогнозы по поздней версии RTD от 9 сентября 2026 года, сохраняя оговорку о возможных изменениях географии. Поздняя цель влияет только на оценку потерь, а не на обучение и прогнозы.</w:t>
      </w:r>
    </w:p>
    <w:p>
      <w:pPr>
        <w:jc w:val="both"/>
      </w:pPr>
      <w:r>
        <w:t>Исходные выгрузки, календарь, преобразованные наборы на каждую прогнозную дату и проверки сохранены. Изменение событий базы после выбранной даты не изменяет информационный набор в контрольных расчётах; результаты также повторены из отдельной распакованной копии без сетевых обращений.</w:t>
      </w:r>
    </w:p>
    <w:p>
      <w:pPr>
        <w:pStyle w:val="Heading1"/>
      </w:pPr>
      <w:r>
        <w:t>3 Простые ориентиры и сравнение моделей</w:t>
      </w:r>
    </w:p>
    <w:p>
      <w:pPr>
        <w:jc w:val="both"/>
      </w:pPr>
      <w:r>
        <w:rPr>
          <w:b/>
        </w:rPr>
        <w:t>Замечание руководителя: сделать HIST и AR центральными ориентирами и разделить улучшение европейской базы и превосходство простых прогнозов.</w:t>
      </w:r>
    </w:p>
    <w:p>
      <w:pPr>
        <w:pStyle w:val="Heading2"/>
      </w:pPr>
      <w:r>
        <w:t>Спецификация и единые правила</w:t>
      </w:r>
    </w:p>
    <w:p>
      <w:pPr>
        <w:jc w:val="both"/>
      </w:pPr>
      <w:r>
        <w:t>Оцениваю прямую линейную квантильную регрессию при τ = 0,10. Зависимая переменная G(t,h) = (400/h) × ln[Y(t+h)/Y(t)], где Y — реальный ВВП еврозоны; основной горизонт h = 1 квартал, дополнительный h = 4. Это годовой логарифмический темп роста за соответствующий интервал. Десятый процентиль характеризует нижнюю часть распределения роста и не равен вероятности рецессии.</w:t>
      </w:r>
    </w:p>
    <w:p>
      <w:pPr>
        <w:jc w:val="both"/>
      </w:pPr>
      <w:r>
        <w:t>Основная расширенная модель имеет вид Q₀,₁[G(t,h) | I(t)] = α(h) + β(h)g(t−1) + γ(h)ESI(t) + δ(h)NFCI(t), где g(t−1) = 400 × ln[Y(t−1)/Y(t−2)], а I(t) — описанный выше исторический набор. Коэффициенты переоцениваются на каждой дате. Масштабирование регрессоров проводится только по обучающей выборке; коэффициент δ не интерпретируется как причинный эффект.</w:t>
      </w:r>
    </w:p>
    <w:tbl>
      <w:tblPr>
        <w:tblW w:type="auto" w:w="0"/>
        <w:jc w:val="center"/>
        <w:tblLayout w:type="fixed"/>
        <w:tblLook w:firstColumn="1" w:firstRow="1" w:lastColumn="0" w:lastRow="0" w:noHBand="0" w:noVBand="1" w:val="04A0"/>
      </w:tblPr>
      <w:tblGrid>
        <w:gridCol w:w="2835"/>
        <w:gridCol w:w="6520"/>
      </w:tblGrid>
      <w:tr>
        <w:trPr>
          <w:cantSplit/>
          <w:tblHeader/>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left"/>
            </w:pPr>
            <w:r>
              <w:rPr>
                <w:rFonts w:ascii="Times New Roman" w:hAnsi="Times New Roman"/>
                <w:b/>
                <w:sz w:val="22"/>
              </w:rPr>
              <w:t>Модель</w:t>
            </w:r>
          </w:p>
        </w:tc>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Что входит</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HIST</w:t>
            </w:r>
          </w:p>
        </w:tc>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Исторический эмпирический дециль обучающих целей</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AR</w:t>
            </w:r>
          </w:p>
        </w:tc>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Константа и лаговый рост ВВП</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AR + ESI</w:t>
            </w:r>
          </w:p>
        </w:tc>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AR и европейские экономические настроения</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AR + ESI + NFCI</w:t>
            </w:r>
          </w:p>
        </w:tc>
        <w:tc>
          <w:tcPr>
            <w:tcW w:type="dxa" w:w="652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Та же европейская база и индекс США</w:t>
            </w:r>
          </w:p>
        </w:tc>
      </w:tr>
    </w:tbl>
    <w:p>
      <w:pPr>
        <w:spacing w:after="0"/>
      </w:pPr>
    </w:p>
    <w:p>
      <w:pPr>
        <w:jc w:val="both"/>
      </w:pPr>
      <w:r>
        <w:t>Во всех четырёх моделях использую одинаковые полные обучающие строки и одинаковые даты оценки. Основное окно расширяется; альтернативное скользящее окно содержит 52 обучающих наблюдения. Оцениваются 58 прогнозов при h = 1 и 55 при h = 4. Источники прогнозов: 2011Q2–2025Q3 и 2011Q2–2024Q4 соответственно. Конечные кварталы целей не выходят за 2025Q4.</w:t>
      </w:r>
    </w:p>
    <w:p>
      <w:pPr>
        <w:jc w:val="both"/>
      </w:pPr>
      <w:r>
        <w:t>Основная метрика — средняя квантильная потеря ρτ(u) = u × [τ − 1(u &lt; 0)], где u — факт минус прогноз. Меньшая потеря означает лучшее качество для выбранного квантиля. Дополнительно проверяю долю фактических значений ниже прогнозируемого дециля; её ориентир при корректной безусловной калибровке — 10%. Одной этой доли недостаточно для проверки условной калибровки.</w:t>
      </w:r>
    </w:p>
    <w:p>
      <w:pPr>
        <w:pStyle w:val="Heading2"/>
      </w:pPr>
      <w:r>
        <w:t>Результаты основного расширяющегося окна</w:t>
      </w:r>
    </w:p>
    <w:tbl>
      <w:tblPr>
        <w:tblW w:type="auto" w:w="0"/>
        <w:jc w:val="center"/>
        <w:tblLayout w:type="fixed"/>
        <w:tblLook w:firstColumn="1" w:firstRow="1" w:lastColumn="0" w:lastRow="0" w:noHBand="0" w:noVBand="1" w:val="04A0"/>
      </w:tblPr>
      <w:tblGrid>
        <w:gridCol w:w="2891"/>
        <w:gridCol w:w="1417"/>
        <w:gridCol w:w="1417"/>
        <w:gridCol w:w="1814"/>
        <w:gridCol w:w="1814"/>
      </w:tblGrid>
      <w:tr>
        <w:trPr>
          <w:cantSplit/>
          <w:tblHeader/>
        </w:trPr>
        <w:tc>
          <w:tcPr>
            <w:tcW w:type="dxa" w:w="28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left"/>
            </w:pPr>
            <w:r>
              <w:rPr>
                <w:rFonts w:ascii="Times New Roman" w:hAnsi="Times New Roman"/>
                <w:b/>
                <w:sz w:val="22"/>
              </w:rPr>
              <w:t>Модель</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Потеря</w:t>
              <w:br/>
              <w:t>h = 1</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Потеря</w:t>
              <w:br/>
              <w:t>h = 4</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Ниже прогноза</w:t>
              <w:br/>
              <w:t>h = 1</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Ниже прогноза</w:t>
              <w:br/>
              <w:t>h = 4</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HIST</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1,3533</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0,7473</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13,8%</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20,0%</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AR</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1,9598</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1,0245</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6,9%</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14,5%</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AR + ESI</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1,8008</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1,5006</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6,9%</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16,4%</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AR + ESI + NFCI</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1,6343</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1,1518</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27,6%</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47,3%</w:t>
            </w:r>
          </w:p>
        </w:tc>
      </w:tr>
    </w:tbl>
    <w:p>
      <w:pPr>
        <w:spacing w:after="0"/>
      </w:pPr>
    </w:p>
    <w:p>
      <w:pPr>
        <w:jc w:val="both"/>
      </w:pPr>
      <w:r>
        <w:t>Источник: мои расчёты на исторических версиях. При h = 1 n = 58, при h = 4 n = 55. Таблица заменяет прежние результаты на пересмотренных рядах; их значения нельзя смешивать с текущими.</w:t>
      </w:r>
    </w:p>
    <w:p>
      <w:pPr>
        <w:jc w:val="both"/>
      </w:pPr>
      <w:r>
        <w:t>При h = 1 NFCI снижает потерю относительно AR + ESI на 9,2%, но его потеря выше HIST на 20,8%. При h = 4 снижение относительно AR + ESI составляет 23,2%, а превышение потери HIST — 54,1%. Следовательно, улучшение конкретной базы подтверждается описательно, а преимущества перед сильнейшим простым ориентиром нет.</w:t>
      </w:r>
    </w:p>
    <w:p>
      <w:pPr>
        <w:jc w:val="both"/>
      </w:pPr>
      <w:r>
        <w:t>Калибровка NFCI особенно проблемна: факт ниже прогнозного дециля в 16 из 58 случаев при h = 1 и в 26 из 55 при h = 4, то есть примерно в 27,6% и 47,3% вместо 10%. Поэтому этот вариант пока нельзя рекомендовать как самостоятельный инструмент надёжного измерения нижнего риска.</w:t>
      </w:r>
    </w:p>
    <w:p>
      <w:pPr>
        <w:pStyle w:val="Heading2"/>
      </w:pPr>
      <w:r>
        <w:t>Что можно утверждать статистически</w:t>
      </w:r>
    </w:p>
    <w:p>
      <w:pPr>
        <w:jc w:val="both"/>
      </w:pPr>
      <w:r>
        <w:t>Для скользящего окна из 52 наблюдений выполнено вспомогательное сравнение прогнозных процедур по безусловному частному случаю подхода Giacomini–White: постоянный инструмент, стандартные ошибки Bartlett HAC с лагами 4 и 8. Три двусторонних сравнения при h = 1 — NFCI против AR + ESI, HIST и AR — составляют одну семью с поправкой Холма [8].</w:t>
      </w:r>
    </w:p>
    <w:p>
      <w:pPr>
        <w:jc w:val="both"/>
      </w:pPr>
      <w:r>
        <w:t>При HAC с четырьмя лагами p-значение NFCI против AR + ESI равно 0,310, против HIST — 0,265, против AR — 0,305. После поправки Холма все три равны примерно 0,795. При восьми лагах общий вывод сохраняется. Это не подтверждает устойчивого превосходства NFCI, но также не доказывает равенство моделей или отсутствие международной взаимосвязи.</w:t>
      </w:r>
    </w:p>
    <w:p>
      <w:pPr>
        <w:jc w:val="both"/>
      </w:pPr>
      <w:r>
        <w:t>Короткая проверочная выборка, нестабильность и пересмотры ограничивают статистический вывод. Для основного расширяющегося окна отношения потерь рассматриваю как описательные. Специальная процедура Amburgey–McCracken для вложенных квантильных моделей с пересмотрами здесь не реализована; обычный тест DM не выдаю за её замену. При h = 4 дополнительное ограничение связано с перекрывающимися целями [7].</w:t>
      </w:r>
    </w:p>
    <w:p>
      <w:pPr>
        <w:pStyle w:val="Heading1"/>
      </w:pPr>
      <w:r>
        <w:t>4 Экстремальные наблюдения и результаты с 2022 по 2025 год</w:t>
      </w:r>
    </w:p>
    <w:p>
      <w:pPr>
        <w:jc w:val="both"/>
      </w:pPr>
      <w:r>
        <w:rPr>
          <w:b/>
        </w:rPr>
        <w:t>Замечание руководителя: проверить влияние отдельных экстремальных наблюдений и осторожно интерпретировать недавний подпериод.</w:t>
      </w:r>
    </w:p>
    <w:p>
      <w:pPr>
        <w:pStyle w:val="Heading2"/>
      </w:pPr>
      <w:r>
        <w:t>Зависимость от одной прогнозной даты</w:t>
      </w:r>
    </w:p>
    <w:p>
      <w:pPr>
        <w:jc w:val="both"/>
      </w:pPr>
      <w:r>
        <w:t>В основной схеме дата 2020Q4 даёт 137,9% суммарного выигрыша NFCI относительно AR + ESI при h = 1 и 192,8% при h = 4. Доля выше 100% означает, что остальные даты в совокупности дают проигрыш, который перекрывает этот эпизод. После удаления только этой даты из подсчёта потерь, без переобучения, отношение NFCI/AR + ESI становится 1,047 и 1,395: средний выигрыш исчезает.</w:t>
      </w:r>
    </w:p>
    <w:p>
      <w:pPr>
        <w:jc w:val="both"/>
      </w:pPr>
      <w:r>
        <w:t>Эконометрическая причина связана с экстраполяцией после чрезвычайного отскока ВВП. На 2020Q4 лаговый рост в используемой исторической версии составляет около 47,0 в годовом логарифмическом выражении при прежнем максимуме обучения около 4,93. При h = 1 база с ESI прогнозирует рост около +28,05, расширение с NFCI — +13,25, а оцениваемый факт равен примерно −1,15. Обе модели существенно ошибаются; NFCI уменьшает ошибку базы на экстремальной точке. Это не равнозначно надёжному самостоятельному финансовому сигналу.</w:t>
      </w:r>
    </w:p>
    <w:p>
      <w:pPr>
        <w:jc w:val="both"/>
      </w:pPr>
      <w:r>
        <w:t>Проверено удаление каждой отдельной даты из оценивания. HIST сохраняет меньшую потерю, чем NFCI, после любого такого удаления на обоих горизонтах. Удаление из подсчёта потерь не является новым экспериментом без пандемии в обучении, поэтому эти проверки разделяю.</w:t>
      </w:r>
    </w:p>
    <w:p>
      <w:pPr>
        <w:pStyle w:val="Heading2"/>
      </w:pPr>
      <w:r>
        <w:t>Другие проверки устойчивости</w:t>
      </w:r>
    </w:p>
    <w:tbl>
      <w:tblPr>
        <w:tblW w:type="auto" w:w="0"/>
        <w:jc w:val="center"/>
        <w:tblLayout w:type="fixed"/>
        <w:tblLook w:firstColumn="1" w:firstRow="1" w:lastColumn="0" w:lastRow="0" w:noHBand="0" w:noVBand="1" w:val="04A0"/>
      </w:tblPr>
      <w:tblGrid>
        <w:gridCol w:w="4592"/>
        <w:gridCol w:w="2381"/>
        <w:gridCol w:w="2381"/>
      </w:tblGrid>
      <w:tr>
        <w:trPr>
          <w:cantSplit/>
          <w:tblHeader/>
        </w:trPr>
        <w:tc>
          <w:tcPr>
            <w:tcW w:type="dxa" w:w="45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left"/>
            </w:pPr>
            <w:r>
              <w:rPr>
                <w:rFonts w:ascii="Times New Roman" w:hAnsi="Times New Roman"/>
                <w:b/>
                <w:sz w:val="22"/>
              </w:rPr>
              <w:t>Схема</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NFCI / AR + ESI</w:t>
              <w:br/>
              <w:t>h = 1</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NFCI / AR + ESI</w:t>
              <w:br/>
              <w:t>h = 4</w:t>
            </w:r>
          </w:p>
        </w:tc>
      </w:tr>
      <w:tr>
        <w:trPr>
          <w:cantSplit/>
        </w:trPr>
        <w:tc>
          <w:tcPr>
            <w:tcW w:type="dxa" w:w="45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Основное расширяющееся окно</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0,908</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0,768</w:t>
            </w:r>
          </w:p>
        </w:tc>
      </w:tr>
      <w:tr>
        <w:trPr>
          <w:cantSplit/>
        </w:trPr>
        <w:tc>
          <w:tcPr>
            <w:tcW w:type="dxa" w:w="45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Скользящее окно 52</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0,731</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1,036</w:t>
            </w:r>
          </w:p>
        </w:tc>
      </w:tr>
      <w:tr>
        <w:trPr>
          <w:cantSplit/>
        </w:trPr>
        <w:tc>
          <w:tcPr>
            <w:tcW w:type="dxa" w:w="45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Без пандемийных целей в обучении</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0,958</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1,188</w:t>
            </w:r>
          </w:p>
        </w:tc>
      </w:tr>
      <w:tr>
        <w:trPr>
          <w:cantSplit/>
        </w:trPr>
        <w:tc>
          <w:tcPr>
            <w:tcW w:type="dxa" w:w="459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Без 2020Q4 только в оценивании</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1,047</w:t>
            </w:r>
          </w:p>
        </w:tc>
        <w:tc>
          <w:tcPr>
            <w:tcW w:type="dxa" w:w="238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1,395</w:t>
            </w:r>
          </w:p>
        </w:tc>
      </w:tr>
    </w:tbl>
    <w:p>
      <w:pPr>
        <w:spacing w:after="0"/>
      </w:pPr>
    </w:p>
    <w:p>
      <w:pPr>
        <w:jc w:val="both"/>
      </w:pPr>
      <w:r>
        <w:t>Отношение меньше единицы означает меньшую потерю расширения с NFCI. При исключении из обучения целей, затрагивающих 2020Q1–2021Q4, все даты оценки сохраняются. На горизонте h = 4 NFCI тогда уже ухудшает европейскую базу. Пандемия остаётся диагностическим эпизодом; основной исследовательский вопрос к ней не привязан.</w:t>
      </w:r>
    </w:p>
    <w:p>
      <w:pPr>
        <w:jc w:val="both"/>
      </w:pPr>
      <w:r>
        <w:t>Дополнительно оценены потери без четырёх дат восстановления из бюллетеней и отдельно без двух дат разрыва ESI в 2023 году. Общий вывод сохраняется. Для округлённых темпов ВВП 2022Q1 выполнены 144 сценарных расчёта; максимальное изменение средней потери составляет около 0,000051. Это чувствительность к выбранным крайним значениям округления, а не строгая математическая граница для всех возможных исходных данных.</w:t>
      </w:r>
    </w:p>
    <w:p>
      <w:pPr>
        <w:jc w:val="both"/>
      </w:pPr>
      <w:r>
        <w:t>Замена только исторического NFCI его пересмотренной версией из прежней выгрузки делает результаты благоприятнее. В расширяющемся окне потеря на исторических версиях выше примерно на 3,0% при h = 1 и на 29,2% при h = 4. Европейские данные, цели и правила сравнения при этом не меняются. Это показывает значимость версии индекса для вывода, но не является причинным эффектом пересмотра и не означает, что прежняя выгрузка совпадает с самой последней версией на сегодня.</w:t>
      </w:r>
    </w:p>
    <w:p>
      <w:pPr>
        <w:pStyle w:val="Heading2"/>
      </w:pPr>
      <w:r>
        <w:t>Недавний подпериод</w:t>
      </w:r>
    </w:p>
    <w:tbl>
      <w:tblPr>
        <w:tblW w:type="auto" w:w="0"/>
        <w:jc w:val="center"/>
        <w:tblLayout w:type="fixed"/>
        <w:tblLook w:firstColumn="1" w:firstRow="1" w:lastColumn="0" w:lastRow="0" w:noHBand="0" w:noVBand="1" w:val="04A0"/>
      </w:tblPr>
      <w:tblGrid>
        <w:gridCol w:w="4252"/>
        <w:gridCol w:w="2551"/>
        <w:gridCol w:w="2551"/>
      </w:tblGrid>
      <w:tr>
        <w:trPr>
          <w:cantSplit/>
          <w:tblHeader/>
        </w:trPr>
        <w:tc>
          <w:tcPr>
            <w:tcW w:type="dxa" w:w="42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left"/>
            </w:pPr>
            <w:r>
              <w:rPr>
                <w:rFonts w:ascii="Times New Roman" w:hAnsi="Times New Roman"/>
                <w:b/>
                <w:sz w:val="22"/>
              </w:rPr>
              <w:t>Модель</w:t>
            </w:r>
          </w:p>
        </w:tc>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Потеря h = 1</w:t>
              <w:br/>
              <w:t>n = 16</w:t>
            </w:r>
          </w:p>
        </w:tc>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Потеря h = 4</w:t>
              <w:br/>
              <w:t>n = 13</w:t>
            </w:r>
          </w:p>
        </w:tc>
      </w:tr>
      <w:tr>
        <w:trPr>
          <w:cantSplit/>
        </w:trPr>
        <w:tc>
          <w:tcPr>
            <w:tcW w:type="dxa" w:w="42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HIST</w:t>
            </w:r>
          </w:p>
        </w:tc>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0,2075</w:t>
            </w:r>
          </w:p>
        </w:tc>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0,1996</w:t>
            </w:r>
          </w:p>
        </w:tc>
      </w:tr>
      <w:tr>
        <w:trPr>
          <w:cantSplit/>
        </w:trPr>
        <w:tc>
          <w:tcPr>
            <w:tcW w:type="dxa" w:w="42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AR</w:t>
            </w:r>
          </w:p>
        </w:tc>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0,2010</w:t>
            </w:r>
          </w:p>
        </w:tc>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0,1936</w:t>
            </w:r>
          </w:p>
        </w:tc>
      </w:tr>
      <w:tr>
        <w:trPr>
          <w:cantSplit/>
        </w:trPr>
        <w:tc>
          <w:tcPr>
            <w:tcW w:type="dxa" w:w="42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AR + ESI</w:t>
            </w:r>
          </w:p>
        </w:tc>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0,1703</w:t>
            </w:r>
          </w:p>
        </w:tc>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0,1918</w:t>
            </w:r>
          </w:p>
        </w:tc>
      </w:tr>
      <w:tr>
        <w:trPr>
          <w:cantSplit/>
        </w:trPr>
        <w:tc>
          <w:tcPr>
            <w:tcW w:type="dxa" w:w="42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AR + ESI + NFCI</w:t>
            </w:r>
          </w:p>
        </w:tc>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0,1722</w:t>
            </w:r>
          </w:p>
        </w:tc>
        <w:tc>
          <w:tcPr>
            <w:tcW w:type="dxa" w:w="255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0,1654</w:t>
            </w:r>
          </w:p>
        </w:tc>
      </w:tr>
    </w:tbl>
    <w:p>
      <w:pPr>
        <w:spacing w:after="0"/>
      </w:pPr>
    </w:p>
    <w:p>
      <w:pPr>
        <w:jc w:val="both"/>
      </w:pPr>
      <w:r>
        <w:t>Подпериод определяется целевыми интервалами, полностью начинающимися не раньше 2022Q1, а не просто календарём выпуска прогнозов. На один квартал NFCI немного хуже AR + ESI; на четыре квартала — лучше. Во всех четырёх моделях на обоих горизонтах нет ни одного исхода ниже прогнозного дециля. При таком числе наблюдений и редких хвостовых событиях это описательный результат, недостаточный для вывода об устойчивом преимуществе в условиях ужесточения политики 2022–2025 годов.</w:t>
      </w:r>
    </w:p>
    <w:p>
      <w:pPr>
        <w:jc w:val="both"/>
      </w:pPr>
      <w:r>
        <w:t>Оценка тех же прогнозов по поздней версии ВВП также не меняет превосходство HIST над NFCI. Значения потерь при этом меняются, что дополнительно требует явно указывать, какую версию факта использует каждая таблица.</w:t>
      </w:r>
    </w:p>
    <w:p>
      <w:pPr>
        <w:pStyle w:val="Heading1"/>
      </w:pPr>
      <w:r>
        <w:t>5 Вклад относительно существующей литературы</w:t>
      </w:r>
    </w:p>
    <w:p>
      <w:pPr>
        <w:jc w:val="both"/>
      </w:pPr>
      <w:r>
        <w:rPr>
          <w:b/>
        </w:rPr>
        <w:t>Замечание руководителя: чётче отделить вклад работы от известных результатов, сохранить единые правила сравнения индикаторов и исследовать устойчивость дополнительной информативности.</w:t>
      </w:r>
    </w:p>
    <w:p>
      <w:pPr>
        <w:jc w:val="both"/>
      </w:pPr>
      <w:r>
        <w:t>В реестре проекта сейчас 40 уникальных работ: для 32 сохранены полные PDF, для одной — полный HTML, для семи — частичные материалы или библиографическая информация. Журнальная статья и её рабочая версия считаются одной работой. Наличие полного текста не означает независимой репликации всех её результатов.</w:t>
      </w:r>
    </w:p>
    <w:p>
      <w:pPr>
        <w:jc w:val="both"/>
      </w:pPr>
      <w:r>
        <w:t>Adrian, Boyarchenko и Giannone задают рамку Growth-at-Risk и связь финансовых условий с нижним хвостом роста [1]. Figueres и Jarociński уже исследуют выбор финансовых индикаторов для еврозоны [2]; Chavleishvili и Kremer объясняют CISS и связь системного стресса с рисками роста [3]. Поэтому само применение квантильной регрессии к еврозоне не является новым результатом.</w:t>
      </w:r>
    </w:p>
    <w:p>
      <w:pPr>
        <w:jc w:val="both"/>
      </w:pPr>
      <w:r>
        <w:t>Ferrara, Mogliani и Sahuc уже учитывают исторические версии и календарь для высокочастотного мониторинга рисков роста еврозоны [4]. Amburgey и McCracken изучают прогнозное содержание NFCI в реальном времени для США и значение пересмотров [7]. Plaasch и Röthig включают американский NFCI в модель Германии вместе с внутренними показателями [6]. Plagborg-Møller и соавторы показывают, что слабая устойчивость финансового прогнозного сигнала тоже уже известна [5].</w:t>
      </w:r>
    </w:p>
    <w:p>
      <w:pPr>
        <w:jc w:val="both"/>
      </w:pPr>
      <w:r>
        <w:t>Мой вклад формулирую как прикладное расширение этих подходов: проверка американского сигнала для агрегата еврозоны при явно ограниченном историческом наборе, одинаковых обучающих данных и датах, с HIST и AR в центре сравнения. Отдельно показываю, как меняется оценка при пересмотре NFCI и какая прогнозная дата создаёт видимый средний выигрыш. Ни приоритет применения NFCI в Европе, ни новый эконометрический метод, ни первый отрицательный результат не заявляю.</w:t>
      </w:r>
    </w:p>
    <w:p>
      <w:pPr>
        <w:pStyle w:val="Heading2"/>
      </w:pPr>
      <w:r>
        <w:t>Почему уточнена роль CISS</w:t>
      </w:r>
    </w:p>
    <w:p>
      <w:pPr>
        <w:jc w:val="both"/>
      </w:pPr>
      <w:r>
        <w:t>В исходной постановке предполагалось симметрично сравнивать NFCI и CISS США после учёта европейского финансового стресса. Этот расчёт на пересмотренных данных сохранён как отдельное дополнение. Для CISS историческая доступность значений на каждую дату не подтверждена в той же степени, что для нового набора NFCI. Поэтому я не объединяю два эксперимента в одну таблицу и не называю сравнение NFCI и CISS полностью историческим.</w:t>
      </w:r>
    </w:p>
    <w:p>
      <w:pPr>
        <w:jc w:val="both"/>
      </w:pPr>
      <w:r>
        <w:t>Это означает содержательное сужение основного вывода: текущие расчёты оценивают добавочную информацию NFCI после лагового роста и ESI. Они не устанавливают её независимость от всех финансовых условий еврозоны. Вклад по сравнению двух американских индексов остаётся в ретроспективной части, с соответствующим ограничением, а основной воспроизводимый результат опирается на исторические версии NFCI.</w:t>
      </w:r>
    </w:p>
    <w:p>
      <w:pPr>
        <w:pStyle w:val="Heading2"/>
      </w:pPr>
      <w:r>
        <w:t>Дополнение ANFCI</w:t>
      </w:r>
    </w:p>
    <w:p>
      <w:pPr>
        <w:jc w:val="both"/>
      </w:pPr>
      <w:r>
        <w:t>После подготовки основного ответа я добавил ANFCI — индекс Chicago Fed, корректирующий финансовые условия на их обычную связь с экономической активностью и инфляцией США. Это уточняет содержательный вопрос: сохраняется ли прогнозная информация американских финансовых условий после такой корректировки? NFCI и ANFCI сравниваются на одинаковых датах, с теми же европейскими данными и простыми ориентирами. Результат дополнения вынесен в приложение к записке [14, 15].</w:t>
      </w:r>
    </w:p>
    <w:p>
      <w:pPr>
        <w:jc w:val="both"/>
      </w:pPr>
      <w:r>
        <w:t>Для дополнения получены 59 исторических версий ANFCI, учтено изменение его методики в 2017 году; основные таблицы выше относятся к исходному NFCI. ANFCI не является идентифицированным финансовым шоком, а разность NFCI и ANFCI нельзя автоматически считать точной макроэкономической компонентой: отличаются и корректировки, и веса показателей. Само добавление другого индекса не превращает работу в принципиально новый метод.</w:t>
      </w:r>
    </w:p>
    <w:p>
      <w:pPr>
        <w:jc w:val="both"/>
      </w:pPr>
      <w:r>
        <w:t>Для диплома выполненная проверка уже даёт основу для написания. ANFCI может усилить экономическую интерпретацию и перспективу статьи, но его возможный положительный результат не должен становиться условием приемлемости темы. Публикационная ценность будет зависеть от аккуратности постановки, воспроизводимости, сопоставления с ближайшими работами и уровня выбранного журнала.</w:t>
      </w:r>
    </w:p>
    <w:p>
      <w:pPr>
        <w:pStyle w:val="Heading1"/>
      </w:pPr>
      <w:r>
        <w:t>Предлагаемая структура диплома</w:t>
      </w:r>
    </w:p>
    <w:p>
      <w:pPr>
        <w:jc w:val="both"/>
      </w:pPr>
      <w:r>
        <w:t>Введение. Актуальность международных финансовых связей, исследовательский вопрос и гипотезы, объект и предмет, данные, метод, ограничения и прикладной вклад. Гипотеза допускает как устойчивый выигрыш, так и отсутствие преимущества американского индекса.</w:t>
      </w:r>
    </w:p>
    <w:p>
      <w:pPr>
        <w:jc w:val="both"/>
      </w:pPr>
      <w:r>
        <w:t>Глава 1 Теоретические основы международной передачи финансовых условий. 1.1 Роль США в глобальной финансовой системе. 1.2 Долларовое банковское финансирование, портфельные потоки и стоимость капитала еврозоны. 1.3 Финансовые условия, системный стресс и Growth-at-Risk. 1.4 Обзор близких исследований и проверяемые гипотезы.</w:t>
      </w:r>
    </w:p>
    <w:p>
      <w:pPr>
        <w:jc w:val="both"/>
      </w:pPr>
      <w:r>
        <w:t>Глава 2 Эмпирическая оценка прогнозной информативности. 2.1 Источники, исторические версии, географический охват и календарь. 2.2 Цель, квантильная модель, HIST, AR и европейская база. 2.3 Основные вневыборочные результаты и калибровка. 2.4 Устойчивость к окну, версиям и экстремальным датам. 2.5 Ограничения и дополнительное сравнение NFCI и ANFCI.</w:t>
      </w:r>
    </w:p>
    <w:p>
      <w:pPr>
        <w:jc w:val="both"/>
      </w:pPr>
      <w:r>
        <w:t>Глава 3 Рекомендации по использованию международных финансовых индикаторов. 3.1 Когда дополнительный сигнал допустимо использовать в мониторинге рисков. 3.2 Выбор ориентиров, контроль пересмотров и экстраполяции. 3.3 Практические ограничения для аналитика, банка или исследовательского подразделения. Рекомендации относятся к прогнозной процедуре; оснований рекомендовать изменение ставки ЕЦБ по этим расчётам нет.</w:t>
      </w:r>
    </w:p>
    <w:p>
      <w:pPr>
        <w:jc w:val="both"/>
      </w:pPr>
      <w:r>
        <w:t>Заключение. Ответ на вопрос о дополнительной информации и её устойчивости, международно-экономическая интерпретация, ограничения и направления развития. Далее — список источников и приложения: календарь, происхождение данных, полные результаты, проверки устойчивости и инструкция воспроизведения.</w:t>
      </w:r>
    </w:p>
    <w:p>
      <w:pPr>
        <w:jc w:val="both"/>
      </w:pPr>
      <w:r>
        <w:t>Прошу согласовать уточнённую постановку с историческим NFCI в основном эксперименте и CISS в дополнительной ретроспективной части. Основной вывод предлагаю строить вокруг устойчивости дополнительной прогнозной информации, сохранив в тексте как улучшения отдельных базовых моделей, так и их ограничения.</w:t>
      </w:r>
    </w:p>
    <w:p>
      <w:pPr>
        <w:pStyle w:val="Heading1"/>
      </w:pPr>
      <w:r>
        <w:t>Основные научные источники</w:t>
      </w:r>
    </w:p>
    <w:p>
      <w:pPr>
        <w:spacing w:after="80" w:line="240" w:lineRule="auto"/>
        <w:ind w:firstLine="0"/>
        <w:jc w:val="both"/>
      </w:pPr>
      <w:r>
        <w:rPr>
          <w:sz w:val="22"/>
        </w:rPr>
        <w:t>1. Adrian T., Boyarchenko N., Giannone D. (2019). Vulnerable Growth. American Economic Review. https://doi.org/10.1257/aer.20161923</w:t>
      </w:r>
    </w:p>
    <w:p>
      <w:pPr>
        <w:spacing w:after="80" w:line="240" w:lineRule="auto"/>
        <w:ind w:firstLine="0"/>
        <w:jc w:val="both"/>
      </w:pPr>
      <w:r>
        <w:rPr>
          <w:sz w:val="22"/>
        </w:rPr>
        <w:t>2. Figueres J. M., Jarociński M. (2020). Vulnerable growth in the euro area: Measuring the financial conditions. Economics Letters. https://doi.org/10.1016/j.econlet.2020.109126</w:t>
      </w:r>
    </w:p>
    <w:p>
      <w:pPr>
        <w:spacing w:after="80" w:line="240" w:lineRule="auto"/>
        <w:ind w:firstLine="0"/>
        <w:jc w:val="both"/>
      </w:pPr>
      <w:r>
        <w:rPr>
          <w:sz w:val="22"/>
        </w:rPr>
        <w:t>3. Chavleishvili S., Kremer M. (2023). Measuring Systemic Financial Stress and Its Risks for Growth. ECB Working Paper 2842. https://www.ecb.europa.eu/pub/pdf/scpwps/ecb.wp2842~9a4cb3f225.en.pdf</w:t>
      </w:r>
    </w:p>
    <w:p>
      <w:pPr>
        <w:spacing w:after="80" w:line="240" w:lineRule="auto"/>
        <w:ind w:firstLine="0"/>
        <w:jc w:val="both"/>
      </w:pPr>
      <w:r>
        <w:rPr>
          <w:sz w:val="22"/>
        </w:rPr>
        <w:t>4. Ferrara L., Mogliani M., Sahuc J. G. (2022). High-frequency monitoring of growth at risk. International Journal of Forecasting. https://doi.org/10.1016/j.ijforecast.2021.06.010</w:t>
      </w:r>
    </w:p>
    <w:p>
      <w:pPr>
        <w:spacing w:after="80" w:line="240" w:lineRule="auto"/>
        <w:ind w:firstLine="0"/>
        <w:jc w:val="both"/>
      </w:pPr>
      <w:r>
        <w:rPr>
          <w:sz w:val="22"/>
        </w:rPr>
        <w:t>5. Plagborg-Møller M., Reichlin L., Ricco G., Hasenzagl T. (2020). When Is Growth at Risk? Brookings Papers on Economic Activity. https://doi.org/10.1353/eca.2020.0002</w:t>
      </w:r>
    </w:p>
    <w:p>
      <w:pPr>
        <w:spacing w:after="80" w:line="240" w:lineRule="auto"/>
        <w:ind w:firstLine="0"/>
        <w:jc w:val="both"/>
      </w:pPr>
      <w:r>
        <w:rPr>
          <w:sz w:val="22"/>
        </w:rPr>
        <w:t>6. Plaasch J., Röthig A. (2025). A Growth-at-Risk model for the German economy. Deutsche Bundesbank Technical Paper 05/2025. https://www.bundesbank.de/en/publications/reports/technical-papers/a-growth-at-risk-model-for-the-german-economy-971962</w:t>
      </w:r>
    </w:p>
    <w:p>
      <w:pPr>
        <w:spacing w:after="80" w:line="240" w:lineRule="auto"/>
        <w:ind w:firstLine="0"/>
        <w:jc w:val="both"/>
      </w:pPr>
      <w:r>
        <w:rPr>
          <w:sz w:val="22"/>
        </w:rPr>
        <w:t>7. Amburgey A. J., McCracken M. W. (2023). On the real-time predictive content of financial condition indices for growth. Journal of Applied Econometrics. https://doi.org/10.1002/jae.2943</w:t>
      </w:r>
    </w:p>
    <w:p>
      <w:pPr>
        <w:spacing w:after="80" w:line="240" w:lineRule="auto"/>
        <w:ind w:firstLine="0"/>
        <w:jc w:val="both"/>
      </w:pPr>
      <w:r>
        <w:rPr>
          <w:sz w:val="22"/>
        </w:rPr>
        <w:t>8. Giacomini R., White H. (2006). Tests of Conditional Predictive Ability. Econometrica, 74(6), 1545–1578. https://doi.org/10.1111/j.1468-0262.2006.00718.x</w:t>
      </w:r>
    </w:p>
    <w:p>
      <w:pPr>
        <w:spacing w:after="80" w:line="240" w:lineRule="auto"/>
        <w:ind w:firstLine="0"/>
        <w:jc w:val="both"/>
      </w:pPr>
      <w:r>
        <w:rPr>
          <w:sz w:val="22"/>
        </w:rPr>
        <w:t>9. Miranda-Agrippino S., Rey H. (2020). U.S. Monetary Policy and the Global Financial Cycle. Review of Economic Studies. https://doi.org/10.1093/restud/rdaa019</w:t>
      </w:r>
    </w:p>
    <w:p>
      <w:pPr>
        <w:spacing w:after="80" w:line="240" w:lineRule="auto"/>
        <w:ind w:firstLine="0"/>
        <w:jc w:val="both"/>
      </w:pPr>
      <w:r>
        <w:rPr>
          <w:sz w:val="22"/>
        </w:rPr>
        <w:t>10. Bruno V., Shin H. S. (2015). Cross-Border Banking and Global Liquidity. В проекте сохранена рабочая версия BIS Working Paper 458 (2014). https://www.bis.org/publ/work458.htm</w:t>
      </w:r>
    </w:p>
    <w:p>
      <w:pPr>
        <w:spacing w:after="80" w:line="240" w:lineRule="auto"/>
        <w:ind w:firstLine="0"/>
        <w:jc w:val="both"/>
      </w:pPr>
      <w:r>
        <w:rPr>
          <w:sz w:val="22"/>
        </w:rPr>
        <w:t>11. Kaufmann C. Investment funds, monetary policy, and the global financial cycle. ECB Working Paper 2489 (2020), версия с пересмотром декабря 2022 года. https://www.ecb.europa.eu/pub/pdf/scpwps/ecb.wp2489~26b7eca600.en.pdf</w:t>
      </w:r>
    </w:p>
    <w:p>
      <w:pPr>
        <w:spacing w:after="80" w:line="240" w:lineRule="auto"/>
        <w:ind w:firstLine="0"/>
        <w:jc w:val="both"/>
      </w:pPr>
      <w:r>
        <w:rPr>
          <w:sz w:val="22"/>
        </w:rPr>
        <w:t>12. Habib M. M., Venditti F. (2018). The global financial cycle: implications for the global economy and the euro area. ECB Economic Bulletin, Issue 6. https://www.ecb.europa.eu/press/economic-bulletin/articles/2018/html/ecb.ebart201806_01.en.html</w:t>
      </w:r>
    </w:p>
    <w:p>
      <w:pPr>
        <w:spacing w:after="80" w:line="240" w:lineRule="auto"/>
        <w:ind w:firstLine="0"/>
        <w:jc w:val="both"/>
      </w:pPr>
      <w:r>
        <w:rPr>
          <w:sz w:val="22"/>
        </w:rPr>
        <w:t>13. Federal Reserve Bank of Chicago (2011). Chicago Fed to Release New Index of U.S. Financial Conditions Weekly. Анонс начала публикации 13 апреля 2011 года. https://www.chicagofed.org/utilities/newsroom/news-releases/2011/04-05-nfci-release</w:t>
      </w:r>
    </w:p>
    <w:p>
      <w:pPr>
        <w:spacing w:after="80" w:line="240" w:lineRule="auto"/>
        <w:ind w:firstLine="0"/>
        <w:jc w:val="both"/>
      </w:pPr>
      <w:r>
        <w:rPr>
          <w:sz w:val="22"/>
        </w:rPr>
        <w:t>14. Federal Reserve Bank of Chicago. National Financial Conditions Index: About the NFCI. Описание NFCI и ANFCI. https://www.chicagofed.org/research/data/nfci/about</w:t>
      </w:r>
    </w:p>
    <w:p>
      <w:pPr>
        <w:spacing w:after="80" w:line="240" w:lineRule="auto"/>
        <w:ind w:firstLine="0"/>
        <w:jc w:val="both"/>
      </w:pPr>
      <w:r>
        <w:rPr>
          <w:sz w:val="22"/>
        </w:rPr>
        <w:t>15. Brave S. A., Kelley D. (2017). Introducing the Chicago Fed’s New Adjusted National Financial Conditions Index. Chicago Fed Letter 386. https://www.chicagofed.org/publications/chicago-fed-letter/2017/386</w:t>
      </w:r>
    </w:p>
    <w:p>
      <w:pPr>
        <w:pStyle w:val="Heading1"/>
      </w:pPr>
      <w:r>
        <w:t>Основные источники данных</w:t>
      </w:r>
    </w:p>
    <w:p>
      <w:pPr>
        <w:spacing w:after="80" w:line="240" w:lineRule="auto"/>
        <w:ind w:firstLine="0"/>
        <w:jc w:val="both"/>
      </w:pPr>
      <w:r>
        <w:rPr>
          <w:sz w:val="22"/>
        </w:rPr>
        <w:t>16. ECB Real Time Database. Исторические снимки, описание набора и правила версий. https://data.ecb.europa.eu/data/datasets/RTD/data-information</w:t>
      </w:r>
    </w:p>
    <w:p>
      <w:pPr>
        <w:spacing w:after="80" w:line="240" w:lineRule="auto"/>
        <w:ind w:firstLine="0"/>
        <w:jc w:val="both"/>
      </w:pPr>
      <w:r>
        <w:rPr>
          <w:sz w:val="22"/>
        </w:rPr>
        <w:t>17. ECB Economic Bulletin. Опубликованные таблицы и даты выпусков; в том числе выпуски 4/2022, 2/2023, 4/2023 и 6/2025. https://www.ecb.europa.eu/press/economic-bulletin/html/index.en.html</w:t>
      </w:r>
    </w:p>
    <w:p>
      <w:pPr>
        <w:spacing w:after="80" w:line="240" w:lineRule="auto"/>
        <w:ind w:firstLine="0"/>
        <w:jc w:val="both"/>
      </w:pPr>
      <w:r>
        <w:rPr>
          <w:sz w:val="22"/>
        </w:rPr>
        <w:t>18. European Commission. Business and consumer surveys. ESI, архив выпусков и календарь публикаций. https://economy-finance.ec.europa.eu/economic-forecast-and-surveys/business-and-consumer-surveys_en</w:t>
      </w:r>
    </w:p>
    <w:p>
      <w:pPr>
        <w:spacing w:after="80" w:line="240" w:lineRule="auto"/>
        <w:ind w:firstLine="0"/>
        <w:jc w:val="both"/>
      </w:pPr>
      <w:r>
        <w:rPr>
          <w:sz w:val="22"/>
        </w:rPr>
        <w:t>19. ALFRED Federal Reserve Bank of St. Louis. Исторические версии NFCI; для расширения — ANFCI. https://alfred.stlouisfed.org/series?seid=NFCI</w:t>
      </w:r>
    </w:p>
    <w:p>
      <w:pPr>
        <w:spacing w:after="80" w:line="240" w:lineRule="auto"/>
        <w:ind w:firstLine="0"/>
        <w:jc w:val="both"/>
      </w:pPr>
      <w:r>
        <w:rPr>
          <w:sz w:val="22"/>
        </w:rPr>
        <w:t>20. ECB Data Portal. Composite Indicator of Systemic Stress, дополнительное ретроспективное сравнение. https://data.ecb.europa.eu/data/datasets/CISS</w:t>
      </w:r>
    </w:p>
    <w:p>
      <w:pPr>
        <w:spacing w:after="80" w:line="240" w:lineRule="auto"/>
        <w:ind w:firstLine="0"/>
        <w:jc w:val="both"/>
      </w:pPr>
      <w:r>
        <w:rPr>
          <w:sz w:val="22"/>
        </w:rPr>
        <w:t>21. Eurostat. Квартальные национальные счета namq_10_gdp и ESI ei_bssi_m_r2. Пересмотренные данные прежнего дополнительного эксперимента. https://ec.europa.eu/eurostat/databrowser/view/namq_10_gdp/default/table</w:t>
      </w:r>
    </w:p>
    <w:p>
      <w:pPr>
        <w:jc w:val="both"/>
      </w:pPr>
      <w:r>
        <w:t>Перечисленные источники данных проверены при подготовке проекта. В архиве отдельно сохранены исходные материалы и производные таблицы; для воспроизведения уже рассчитанного основного эксперимента повторная загрузка из интернета не требуется.</w:t>
      </w:r>
    </w:p>
    <w:p>
      <w:r>
        <w:br w:type="page"/>
      </w:r>
    </w:p>
    <w:p>
      <w:pPr>
        <w:pStyle w:val="Heading1"/>
      </w:pPr>
      <w:r>
        <w:t>Приложение Пилотное сравнение NFCI и ANFCI</w:t>
      </w:r>
    </w:p>
    <w:p>
      <w:pPr>
        <w:jc w:val="both"/>
      </w:pPr>
      <w:r>
        <w:t>После основного расчёта я добавил ANFCI по отдельно зафиксированному протоколу. Источники — Chicago Fed через ALFRED, 59 версий на те же концы кварталов. Европейские данные, цель, даты, окно и квантиль сохранены. Повторённые 1356 строк прежних исторических прогнозов совпадают с NFCI-пилотом до численной точности. Ниже приведено основное расширяющееся окно.</w:t>
      </w:r>
    </w:p>
    <w:tbl>
      <w:tblPr>
        <w:tblW w:type="auto" w:w="0"/>
        <w:jc w:val="center"/>
        <w:tblLayout w:type="fixed"/>
        <w:tblLook w:firstColumn="1" w:firstRow="1" w:lastColumn="0" w:lastRow="0" w:noHBand="0" w:noVBand="1" w:val="04A0"/>
      </w:tblPr>
      <w:tblGrid>
        <w:gridCol w:w="2891"/>
        <w:gridCol w:w="1417"/>
        <w:gridCol w:w="1417"/>
        <w:gridCol w:w="1814"/>
        <w:gridCol w:w="1814"/>
      </w:tblGrid>
      <w:tr>
        <w:trPr>
          <w:cantSplit/>
          <w:tblHeader/>
        </w:trPr>
        <w:tc>
          <w:tcPr>
            <w:tcW w:type="dxa" w:w="28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left"/>
            </w:pPr>
            <w:r>
              <w:rPr>
                <w:rFonts w:ascii="Times New Roman" w:hAnsi="Times New Roman"/>
                <w:b/>
                <w:sz w:val="22"/>
              </w:rPr>
              <w:t>Модель</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Потеря</w:t>
              <w:br/>
              <w:t>h = 1</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Потеря</w:t>
              <w:br/>
              <w:t>h = 4</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Ниже прогноза</w:t>
              <w:br/>
              <w:t>h = 1</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F2F2F2"/>
          </w:tcPr>
          <w:p>
            <w:pPr>
              <w:spacing w:after="0" w:line="252" w:lineRule="auto"/>
              <w:ind w:firstLine="0"/>
              <w:jc w:val="center"/>
            </w:pPr>
            <w:r>
              <w:rPr>
                <w:rFonts w:ascii="Times New Roman" w:hAnsi="Times New Roman"/>
                <w:b/>
                <w:sz w:val="22"/>
              </w:rPr>
              <w:t>Ниже прогноза</w:t>
              <w:br/>
              <w:t>h = 4</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HIST</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1,3533</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0,7473</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13,8%</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20,0%</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AR</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1,9598</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1,0245</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6,9%</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14,5%</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AR + ESI</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1,8008</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1,5006</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6,9%</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16,4%</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AR + ESI + NFCI</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1,6343</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1,1518</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27,6%</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47,3%</w:t>
            </w:r>
          </w:p>
        </w:tc>
      </w:tr>
      <w:tr>
        <w:trPr>
          <w:cantSplit/>
        </w:trPr>
        <w:tc>
          <w:tcPr>
            <w:tcW w:type="dxa" w:w="28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left"/>
            </w:pPr>
            <w:r>
              <w:rPr>
                <w:rFonts w:ascii="Times New Roman" w:hAnsi="Times New Roman"/>
                <w:b w:val="0"/>
                <w:sz w:val="22"/>
              </w:rPr>
              <w:t>AR + ESI + ANFCI</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1,6365</w:t>
            </w:r>
          </w:p>
        </w:tc>
        <w:tc>
          <w:tcPr>
            <w:tcW w:type="dxa" w:w="141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0,8626</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10,3%</w:t>
            </w:r>
          </w:p>
        </w:tc>
        <w:tc>
          <w:tcPr>
            <w:tcW w:type="dxa" w:w="181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52" w:lineRule="auto"/>
              <w:ind w:firstLine="0"/>
              <w:jc w:val="center"/>
            </w:pPr>
            <w:r>
              <w:rPr>
                <w:rFonts w:ascii="Times New Roman" w:hAnsi="Times New Roman"/>
                <w:b w:val="0"/>
                <w:sz w:val="22"/>
              </w:rPr>
              <w:t>20,0%</w:t>
            </w:r>
          </w:p>
        </w:tc>
      </w:tr>
    </w:tbl>
    <w:p>
      <w:pPr>
        <w:spacing w:after="0"/>
      </w:pPr>
    </w:p>
    <w:p>
      <w:pPr>
        <w:jc w:val="both"/>
      </w:pPr>
      <w:r>
        <w:t>При h = 1 потеря ANFCI почти совпадает с NFCI, а доля фактов ниже прогноза составляет 6/58, или 10,3%. Это более благоприятная безусловная частота, но ещё не доказанная условная калибровка. При h = 4 потеря ANFCI примерно на 25,1% ниже NFCI, хотя на 15,4% выше HIST; частота нарушений составляет 20,0%.</w:t>
      </w:r>
    </w:p>
    <w:p>
      <w:pPr>
        <w:jc w:val="both"/>
      </w:pPr>
      <w:r>
        <w:t>На четырёх кварталах ANFCI описательно лучше NFCI во всех трёх окнах и схемах обучения. При этом улучшение ANFCI относительно AR + ESI исчезает после удаления 2020Q4 только из оценки: отношения потерь становятся 1,052 при h = 1 и 1,049 при h = 4. На основном горизонте новое вспомогательное сравнение rolling52 после поправки Холма не даёт статистически убедительного выигрыша: p около 0,782.</w:t>
      </w:r>
    </w:p>
    <w:p>
      <w:pPr>
        <w:jc w:val="both"/>
      </w:pPr>
      <w:r>
        <w:t>Версии существенны и для этого сравнения. При h = 4 в историческом эксперименте ANFCI лучше NFCI, но при замене обоих американских рядов симметричной поздней версией, доступной на 16 октября 2026 года, порядок меняется: потери ANFCI 0,9603 и NFCI 0,8913. Европейские данные и оценка факта при этом остаются прежними. Следовательно, преимущество одного индекса не следует считать независимым от пересмотров.</w:t>
      </w:r>
    </w:p>
    <w:p>
      <w:pPr>
        <w:jc w:val="both"/>
      </w:pPr>
      <w:r>
        <w:t>Смена методики ANFCI в 2017 году отражена сохранением опубликованного тогда определения. В архивных снимках 6 и 7 сентября меняется начальная дата истории с 1973 на 1971 год; это согласуется с официальным описанием реформы. Отдельная проверка с прогнозных дат 2018Q1 также оставляет HIST сильнее обоих американских расширений. Точная причинная роль методики этим сравнением не идентифицируется.</w:t>
      </w:r>
    </w:p>
    <w:p>
      <w:pPr>
        <w:jc w:val="both"/>
      </w:pPr>
      <w:r>
        <w:t>Дополнение делает вопрос об американской финансовой информации содержательнее и улучшает часть показателей, но не снимает ограничения размера выборки, версии данных и простого ориентира. Основной ответ руководителю остаётся прежним: исследовать устойчивость дополнительной информации, не обещая универсального прогнозного превосходства.</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ind w:firstLine="425"/>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ind w:firstLine="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ind w:firstLine="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ind w:firstLine="0"/>
      <w:contextualSpacing/>
      <w:jc w:val="center"/>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Финансовые условия США в прогнозировании рисков роста еврозоны</dc:title>
  <dc:subject>Ответы на пять замечаний научного руководителя и уточнённый план диплома</dc:subject>
  <dc:creator/>
  <cp:keywords>Growth at Risk NFCI еврозона исторические версии данных</cp:keywords>
  <dc:description/>
  <cp:lastModifiedBy/>
  <cp:revision>1</cp:revision>
  <dcterms:created xsi:type="dcterms:W3CDTF">2013-12-23T23:15:00Z</dcterms:created>
  <dcterms:modified xsi:type="dcterms:W3CDTF">2013-12-23T23:15:00Z</dcterms:modified>
  <cp:category/>
</cp:coreProperties>
</file>