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80" w:line="240" w:lineRule="auto"/>
        <w:ind w:firstLine="0"/>
        <w:jc w:val="center"/>
      </w:pPr>
      <w:r>
        <w:rPr>
          <w:rFonts w:ascii="Times New Roman" w:hAnsi="Times New Roman"/>
          <w:sz w:val="24"/>
        </w:rPr>
        <w:t>Предложение темы исследования экспорта интегральных схем</w:t>
      </w:r>
    </w:p>
    <w:p>
      <w:pPr>
        <w:pStyle w:val="Note"/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0"/>
        </w:rPr>
        <w:t>Материалы для обсуждения с научным руководителем</w:t>
        <w:br/>
        <w:t>16 октября 2026 года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Предлагаю подготовить статью о вкладе товарной структуры и перераспределения рынков сбыта в изменение концентрации экспорта интегральных схем Японии и Республики Корея. Данные собраны, предварительные результаты получены.</w:t>
      </w:r>
    </w:p>
    <w:p>
      <w:pPr>
        <w:pStyle w:val="Heading1"/>
        <w:spacing w:before="12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1 Тема и постановка вопроса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b/>
          <w:sz w:val="24"/>
        </w:rPr>
        <w:t xml:space="preserve">Рабочее название: </w:t>
      </w:r>
      <w:r>
        <w:rPr>
          <w:rFonts w:ascii="Times New Roman" w:hAnsi="Times New Roman"/>
          <w:sz w:val="24"/>
        </w:rPr>
        <w:t>«Географическая концентрация экспорта интегральных схем Японии и Южной Кореи: роль товарной структуры и агрегации».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Тема относится к мировой экономике и международной торговле. Общая концентрация направлений зависит от товарного состава экспорта. Например, память и процессоры могут продаваться на разных рынках. Рост доли одной категории способен изменить общий индекс даже при сохранении географии поставок внутри каждой категории.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Япония и Корея выбраны для сопоставления различий товарной специализации. Доля памяти в экспорте HS8542 в 2017 году составляла около 36,5% у Японии и 70,3% у Кореи. Это различие необходимо учитывать при интерпретации общей концентрации.</w:t>
      </w:r>
    </w:p>
    <w:p>
      <w:pPr>
        <w:pStyle w:val="Heading1"/>
        <w:spacing w:before="12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2 Цель и задачи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Цель работы — оценить вклад изменения товарной структуры и географии поставок внутри товарных категорий в изменение концентрации экспорта интегральных схем Японии и Республики Корея за 2017–2024 годы.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Для этого предполагается рассчитать показатели концентрации по годам, выполнить двухфакторное разложение их изменения, определить вклад отдельных категорий и направлений, а затем проверить чувствительность результатов к выбору периода и географической агрегации.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В исходном плане предполагалось проверить, может ли общий индекс скрывать разнонаправленные изменения двух компонентов. Знак компонентов заранее не задавался.</w:t>
      </w:r>
    </w:p>
    <w:p>
      <w:pPr>
        <w:pStyle w:val="Heading1"/>
        <w:spacing w:before="12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3 Данные и границы исследования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Основной источник — UN Comtrade [1]. Используется собственная статистика годового экспорта Японии и Республики Корея за 2017–2024 годы. Показатель стоимости — валовой экспорт FOB в текущих долларах США. Основной расчет охватывает все представленные в статистике направления поставок; доли Китая, Гонконга, США и ЕС рассматриваются дополнительно.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Товарная граница — группа HS8542, включающая интегральные схемы и их части. Выделяются пять подкатегорий: 854231 — процессоры и контроллеры; 854232 — память; 854233 — усилители; 854239 — прочие интегральные схемы; 854290 — части. Оборудование для производства и другие полупроводниковые приборы в эту группу не входят. Названия и коды используемых подкатегорий сопоставлены между редакциями HS2017 и HS2022 [2].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В таблице содержится 4 118 наблюдений вида «экспортер — год — товар — направление». Проверены суммы поставок по направлениям и товарным подкатегориям. Повторов ключа, отрицательных и пропущенных стоимостей не обнаружено. Исходные данные и код сохранены для воспроизведения расчетов.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Китай и Гонконг в основном варианте учитываются раздельно; их объединение используется для проверки чувствительности. Для доли ЕС применяется постоянный состав ЕС-27, а в основном индексе его участники остаются отдельными направлениями. Категория Comtrade «Other Asia, nes» сохраняется под исходным названием. Доступность полного набора за 2025 год еще предстоит проверить.</w:t>
      </w:r>
    </w:p>
    <w:p>
      <w:pPr>
        <w:pStyle w:val="Heading1"/>
        <w:spacing w:before="12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4 Метод исследования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Основной показатель — индекс Херфиндаля — Хиршмана (HHI), равный сумме квадратов долей направлений в общей стоимости экспорта:</w:t>
      </w:r>
    </w:p>
    <w:p>
      <w:pPr>
        <w:spacing w:line="240" w:lineRule="auto" w:after="120" w:before="0"/>
        <w:ind w:firstLine="0"/>
        <w:jc w:val="center"/>
      </w:pPr>
      <m:oMathPara>
        <m:oMath>
          <m:r>
            <m:t>HHI = </m:t>
          </m:r>
          <m:nary>
            <m:naryPr>
              <m:chr m:val="∑"/>
              <m:limLoc m:val="undOvr"/>
              <m:supHide m:val="1"/>
            </m:naryPr>
            <m:sub>
              <m:r>
                <m:t>d</m:t>
              </m:r>
            </m:sub>
            <m:sup/>
            <m:e>
              <m:sSubSup>
                <m:e>
                  <m:r>
                    <m:t>s</m:t>
                  </m:r>
                </m:e>
                <m:sub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Здесь s — доля направления d. Более высокий индекс соответствует большей концентрации. Общие доли направлений представляются через веса пяти товарных категорий и распределение поставок внутри каждой из них.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Изменение HHI раскладывается по известному принципу Шепли [3]. Рассчитываются четыре сочетания товарных весов и географических долей начального и конечного годов. Вклад каждого фактора усредняется по двум порядкам замены. Сумма товарного и географического компонентов точно равна общему изменению индекса. Это учетное разложение; оно не оценивает причинное влияние торговой политики.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Основное сравнение — 2017 и 2024 годы. Проверки включают другие базовые годы, сумму годовых разложений, объединение Китая с Гонконгом и исключение частей. Дополнительно рассчитываются доли направлений и доля трех крупнейших покупателей.</w:t>
      </w:r>
    </w:p>
    <w:p>
      <w:pPr>
        <w:pStyle w:val="Heading1"/>
        <w:spacing w:before="12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5 Предварительные результаты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В основном варианте HHI Японии изменился с 0,152278 до 0,151452, а Кореи — с 0,269797 до 0,212029. Результаты разложения приведены ниже.</w:t>
      </w:r>
    </w:p>
    <w:p>
      <w:pPr>
        <w:pStyle w:val="Note"/>
        <w:keepNext/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0"/>
        </w:rPr>
        <w:t>Таблица 1. Разложение изменения HHI за 2017–2024 годы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14"/>
        <w:gridCol w:w="1928"/>
        <w:gridCol w:w="2324"/>
        <w:gridCol w:w="2835"/>
      </w:tblGrid>
      <w:tr>
        <w:trPr>
          <w:tblHeader/>
          <w:cantSplit/>
        </w:trPr>
        <w:tc>
          <w:tcPr>
            <w:tcW w:type="dxa" w:w="181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Экспортер</w:t>
            </w:r>
          </w:p>
        </w:tc>
        <w:tc>
          <w:tcPr>
            <w:tcW w:type="dxa" w:w="19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40" w:lineRule="auto" w:after="6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Изменение HHI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40" w:lineRule="auto" w:after="6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Товарный компонент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40" w:lineRule="auto" w:after="6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Географический компонент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Япония</w:t>
            </w:r>
          </w:p>
        </w:tc>
        <w:tc>
          <w:tcPr>
            <w:tcW w:type="dxa" w:w="19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40" w:lineRule="auto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−0,000826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40" w:lineRule="auto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+0,005816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40" w:lineRule="auto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−0,006642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Республика Корея</w:t>
            </w:r>
          </w:p>
        </w:tc>
        <w:tc>
          <w:tcPr>
            <w:tcW w:type="dxa" w:w="19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40" w:lineRule="auto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−0,057767</w:t>
            </w:r>
          </w:p>
        </w:tc>
        <w:tc>
          <w:tcPr>
            <w:tcW w:type="dxa" w:w="23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40" w:lineRule="auto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−0,014073</w:t>
            </w:r>
          </w:p>
        </w:tc>
        <w:tc>
          <w:tcPr>
            <w:tcW w:type="dxa" w:w="28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40" w:lineRule="auto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−0,043694</w:t>
            </w:r>
          </w:p>
        </w:tc>
      </w:tr>
    </w:tbl>
    <w:p>
      <w:pPr>
        <w:pStyle w:val="Note"/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0"/>
        </w:rPr>
        <w:t>Источник: UN Comtrade, расчеты автора. Шкала HHI — 0–1.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У Японии небольшое итоговое изменение складывается из двух противоположных компонентов. У Кореи оба компонента отрицательны. При детализации географического компонента основной отрицательный вклад в обеих странах приходится на память, а процессоры и контроллеры частично его компенсируют.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В Корее географический компонент составляет 75,6% общего снижения при сравнении крайних лет и 56,3% при суммировании семи годовых разложений. Эти способы учитывают разные траектории замены факторов, сохраняя одно итоговое изменение. У Японии противоположные знаки суммарных компонентов сохраняются, но не наблюдаются в каждом годовом переходе.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Объединение Китая и Гонконга меняет снижение японского HHI с 0,000826 до 0,016460. Вывод о почти неизменной концентрации, следовательно, зависит от способа учета направлений. Эту чувствительность необходимо отразить в статье.</w:t>
      </w:r>
    </w:p>
    <w:p>
      <w:pPr>
        <w:pStyle w:val="Heading1"/>
        <w:spacing w:before="12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6 Место в литературе и возможная новизна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В работе Hillrichs и Wölfl [4] рассматриваются концентрация торговли и различия типов полупроводников. Koh [5] анализирует корейскую отрасль в условиях торговых ограничений. Kitetu, Mbante II и Ko [6] уже сравнивают Корею и Японию по тем же пяти HS6, используя показатели торговой конкурентоспособности. Koo [7] рассчитывает концентрацию отдельных категорий корейской полупроводниковой торговли на данных до 2025 года.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Предполагаемый вклад моей работы — разложить изменение общего географического HHI, сопоставить двух экспортеров и показать чувствительность интерпретации к агрегации. В рассмотренных полных текстах прямого повторения этой постановки не обнаружено. Сам метод, пара стран и применение Comtrade новизной не являются.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У Hong [8] и Kim и Lee [9] проверены только записи, аннотации и отдельные фрагменты. Сохраняется риск совпадения с дополнительными расчетами в полных текстах. Поэтому вклад пока оценивается как возможная узкая эмпирическая добавка; его достаточность для публикации предлагаю обсудить после выбора журнала.</w:t>
      </w:r>
    </w:p>
    <w:p>
      <w:pPr>
        <w:pStyle w:val="Heading1"/>
        <w:spacing w:before="12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7 Ограничения и дальнейшая работа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Стоимостные доли отражают одновременно цены, физические объемы и состав продукции внутри HS6. Количественные поля Японии и Кореи несопоставимы, поэтому отделение ценового эффекта в текущем варианте не проводится. Прямые таможенные направления не раскрывают конечного потребителя и реэкспорт через торговые хабы. Результаты также не распространяются автоматически на всю полупроводниковую отрасль.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Следующие шаги — уточнить отличие от ближайших исследований, проверить возможность дополнения данными за 2025 год, оформить годовую динамику и проверки чувствительности, затем подготовить текст статьи. Предполагаемая структура: введение и обзор литературы, данные и метод, результаты, проверки устойчивости, обсуждение ограничений и заключение.</w:t>
      </w:r>
    </w:p>
    <w:p>
      <w:pPr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Хотел бы согласовать постановку вопроса, достаточность вклада и подходящий формат публикации. Собранные данные позволяют начать подготовку первой версии статьи.</w:t>
      </w:r>
    </w:p>
    <w:p>
      <w:pPr>
        <w:pStyle w:val="Heading1"/>
        <w:spacing w:before="12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>Основные источники</w:t>
      </w:r>
    </w:p>
    <w:p>
      <w:pPr>
        <w:pStyle w:val="Sources"/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 xml:space="preserve">1. United Nations. UN Comtrade Database. Годовые данные экспорта Японии и Республики Корея за 2017–2024 гг., HS8542 и пять HS6. Исходная выгрузка сохранена 15.10.2026. </w:t>
      </w:r>
      <w:r>
        <w:rPr>
          <w:rFonts w:ascii="Times New Roman" w:hAnsi="Times New Roman"/>
          <w:sz w:val="24"/>
          <w:color w:val="000000"/>
        </w:rPr>
        <w:t>comtradeplus.un.org</w:t>
      </w:r>
      <w:r>
        <w:rPr>
          <w:rFonts w:ascii="Times New Roman" w:hAnsi="Times New Roman"/>
          <w:sz w:val="24"/>
        </w:rPr>
        <w:t>.</w:t>
      </w:r>
    </w:p>
    <w:p>
      <w:pPr>
        <w:pStyle w:val="Sources"/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 xml:space="preserve">2. World Customs Organization. Harmonized System Nomenclature. Chapter 85. Редакции 2017 и 2022 гг. </w:t>
      </w:r>
      <w:r>
        <w:rPr>
          <w:rFonts w:ascii="Times New Roman" w:hAnsi="Times New Roman"/>
          <w:sz w:val="24"/>
          <w:color w:val="000000"/>
        </w:rPr>
        <w:t>HS2017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  <w:color w:val="000000"/>
        </w:rPr>
        <w:t>HS2022</w:t>
      </w:r>
      <w:r>
        <w:rPr>
          <w:rFonts w:ascii="Times New Roman" w:hAnsi="Times New Roman"/>
          <w:sz w:val="24"/>
        </w:rPr>
        <w:t>.</w:t>
      </w:r>
    </w:p>
    <w:p>
      <w:pPr>
        <w:pStyle w:val="Sources"/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 xml:space="preserve">3. Shorrocks A. F. Decomposition procedures for distributional analysis: a unified framework based on the Shapley value // The Journal of Economic Inequality. 2013. Vol. 11. P. 99–126. </w:t>
      </w:r>
      <w:r>
        <w:rPr>
          <w:rFonts w:ascii="Times New Roman" w:hAnsi="Times New Roman"/>
          <w:sz w:val="24"/>
          <w:color w:val="000000"/>
        </w:rPr>
        <w:t>DOI: 10.1007/s10888-011-9214-z</w:t>
      </w:r>
      <w:r>
        <w:rPr>
          <w:rFonts w:ascii="Times New Roman" w:hAnsi="Times New Roman"/>
          <w:sz w:val="24"/>
        </w:rPr>
        <w:t>.</w:t>
      </w:r>
    </w:p>
    <w:p>
      <w:pPr>
        <w:pStyle w:val="Sources"/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 xml:space="preserve">4. Hillrichs D., Wölfl A. More Chips, Anyone? Demand for Semiconductors in an Era of Active Industrial Policy // EconPol Forum. 2026. Vol. 27, No. 1. P. 35–42. </w:t>
      </w:r>
      <w:r>
        <w:rPr>
          <w:rFonts w:ascii="Times New Roman" w:hAnsi="Times New Roman"/>
          <w:sz w:val="24"/>
          <w:color w:val="000000"/>
        </w:rPr>
        <w:t>Страница ifo</w:t>
      </w:r>
      <w:r>
        <w:rPr>
          <w:rFonts w:ascii="Times New Roman" w:hAnsi="Times New Roman"/>
          <w:sz w:val="24"/>
        </w:rPr>
        <w:t>.</w:t>
      </w:r>
    </w:p>
    <w:p>
      <w:pPr>
        <w:pStyle w:val="Sources"/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 xml:space="preserve">5. Koh W. C. Tariffs, Tech Controls, and Techno-nationalism: Korea’s Semiconductor Industry in an Era of Sanctions and Strategic Competition. AMRO Country Report ACR-2026-03. Selected Issue 1. 2026. </w:t>
      </w:r>
      <w:r>
        <w:rPr>
          <w:rFonts w:ascii="Times New Roman" w:hAnsi="Times New Roman"/>
          <w:sz w:val="24"/>
          <w:color w:val="000000"/>
        </w:rPr>
        <w:t>Полный текст AMRO</w:t>
      </w:r>
      <w:r>
        <w:rPr>
          <w:rFonts w:ascii="Times New Roman" w:hAnsi="Times New Roman"/>
          <w:sz w:val="24"/>
        </w:rPr>
        <w:t>.</w:t>
      </w:r>
    </w:p>
    <w:p>
      <w:pPr>
        <w:pStyle w:val="Sources"/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 xml:space="preserve">6. Kitetu G. M., Mbante II A. R., Ko J.-H. Revealed Trade Competitiveness between Korea and Japan: Is It Viable to Deepen Economic Integration? // Journal of Global Business and Trade. 2021. Vol. 17, No. 2. P. 67–84. </w:t>
      </w:r>
      <w:r>
        <w:rPr>
          <w:rFonts w:ascii="Times New Roman" w:hAnsi="Times New Roman"/>
          <w:sz w:val="24"/>
          <w:color w:val="000000"/>
        </w:rPr>
        <w:t>DOI: 10.20294/jgbt.2021.17.2.67</w:t>
      </w:r>
      <w:r>
        <w:rPr>
          <w:rFonts w:ascii="Times New Roman" w:hAnsi="Times New Roman"/>
          <w:sz w:val="24"/>
        </w:rPr>
        <w:t>.</w:t>
      </w:r>
    </w:p>
    <w:p>
      <w:pPr>
        <w:pStyle w:val="Sources"/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 xml:space="preserve">7. Koo J. Structural Changes in Korea’s Semiconductor Supply Chain under the Changing Economic Security Environment: An Analysis of Trade Structures, 2015–2025 // Public Policy Review. 2026. Vol. 40, No. 2. P. 319–339. Статья на корейском языке. </w:t>
      </w:r>
      <w:r>
        <w:rPr>
          <w:rFonts w:ascii="Times New Roman" w:hAnsi="Times New Roman"/>
          <w:sz w:val="24"/>
          <w:color w:val="000000"/>
        </w:rPr>
        <w:t>DOI: 10.17327/ippa.2026.40.2.011</w:t>
      </w:r>
      <w:r>
        <w:rPr>
          <w:rFonts w:ascii="Times New Roman" w:hAnsi="Times New Roman"/>
          <w:sz w:val="24"/>
        </w:rPr>
        <w:t>.</w:t>
      </w:r>
    </w:p>
    <w:p>
      <w:pPr>
        <w:pStyle w:val="Sources"/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 xml:space="preserve">8. Hong M.-S. Analysis of export changes to major trading partners of the Korean semiconductor industry // The e-Business Studies. 2023. Vol. 24, No. 6. P. 179–189. Статья на корейском языке; полный текст пока не проверен. </w:t>
      </w:r>
      <w:r>
        <w:rPr>
          <w:rFonts w:ascii="Times New Roman" w:hAnsi="Times New Roman"/>
          <w:sz w:val="24"/>
          <w:color w:val="000000"/>
        </w:rPr>
        <w:t>DOI: 10.20462/tebs.2023.11.24.6.179</w:t>
      </w:r>
      <w:r>
        <w:rPr>
          <w:rFonts w:ascii="Times New Roman" w:hAnsi="Times New Roman"/>
          <w:sz w:val="24"/>
        </w:rPr>
        <w:t>.</w:t>
      </w:r>
    </w:p>
    <w:p>
      <w:pPr>
        <w:pStyle w:val="Sources"/>
        <w:spacing w:before="0" w:after="120" w:line="276" w:lineRule="auto"/>
        <w:ind w:firstLine="0"/>
        <w:jc w:val="left"/>
      </w:pPr>
      <w:r>
        <w:rPr>
          <w:rFonts w:ascii="Times New Roman" w:hAnsi="Times New Roman"/>
          <w:sz w:val="24"/>
        </w:rPr>
        <w:t xml:space="preserve">9. Kim T.-H., Lee M.-J. Assessing Trade Concentration, Dependency, and Resilience in Korea’s Semiconductor Supply Chain: A Network and Entropy-Based Approach // Journal of Korea Trade. 2025. Vol. 29, No. 7. P. 67–95. Полный текст пока не проверен. </w:t>
      </w:r>
      <w:r>
        <w:rPr>
          <w:rFonts w:ascii="Times New Roman" w:hAnsi="Times New Roman"/>
          <w:sz w:val="24"/>
          <w:color w:val="000000"/>
        </w:rPr>
        <w:t>DOI: 10.35611/jkt.2025.29.7.67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footerReference w:type="default" r:id="rId9"/>
      <w:headerReference w:type="default" r:id="rId20"/>
      <w:pgSz w:w="11906" w:h="16838"/>
      <w:pgMar w:top="1134" w:right="1134" w:bottom="1134" w:left="1417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20" w:before="0"/>
      <w:ind w:firstLine="0"/>
      <w:jc w:val="left"/>
    </w:pPr>
    <w:rPr>
      <w:rFonts w:ascii="Times New Roman" w:hAnsi="Times New Roman" w:eastAsia="Times New Roman" w:cs="Times New Roman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 w:line="276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color w:val="000000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color w:val="000000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color w:val="000000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color w:val="000000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color w:val="000000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color w:val="000000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color w:val="000000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fill="FFFFFF"/>
      </w:tcPr>
    </w:tblStylePr>
    <w:tblStylePr w:type="nwCell">
      <w:tblPr/>
      <w:tcPr>
        <w:shd w:val="clear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fill="FFFFFF"/>
      </w:tcPr>
    </w:tblStylePr>
    <w:tblStylePr w:type="nwCell">
      <w:tblPr/>
      <w:tcPr>
        <w:shd w:val="clear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fill="FFFFFF"/>
      </w:tcPr>
    </w:tblStylePr>
    <w:tblStylePr w:type="nwCell">
      <w:tblPr/>
      <w:tcPr>
        <w:shd w:val="clear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fill="FFFFFF"/>
      </w:tcPr>
    </w:tblStylePr>
    <w:tblStylePr w:type="nwCell">
      <w:tblPr/>
      <w:tcPr>
        <w:shd w:val="clear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fill="FFFFFF"/>
      </w:tcPr>
    </w:tblStylePr>
    <w:tblStylePr w:type="nwCell">
      <w:tblPr/>
      <w:tcPr>
        <w:shd w:val="clear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fill="FFFFFF"/>
      </w:tcPr>
    </w:tblStylePr>
    <w:tblStylePr w:type="nwCell">
      <w:tblPr/>
      <w:tcPr>
        <w:shd w:val="clear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fill="FFFFFF"/>
      </w:tcPr>
    </w:tblStylePr>
    <w:tblStylePr w:type="nwCell">
      <w:tblPr/>
      <w:tcPr>
        <w:shd w:val="clear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  <w:insideV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  <w:insideV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  <w:insideV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  <w:insideV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  <w:insideV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  <w:insideV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  <w:insideV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fill="FFFFFF"/>
      </w:tcPr>
    </w:tblStylePr>
    <w:tblStylePr w:type="nwCell">
      <w:tblPr/>
      <w:tcPr>
        <w:shd w:val="clear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fill="FFFFFF"/>
      </w:tcPr>
    </w:tblStylePr>
    <w:tblStylePr w:type="nwCell">
      <w:tblPr/>
      <w:tcPr>
        <w:shd w:val="clear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fill="FFFFFF"/>
      </w:tcPr>
    </w:tblStylePr>
    <w:tblStylePr w:type="nwCell">
      <w:tblPr/>
      <w:tcPr>
        <w:shd w:val="clear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fill="FFFFFF"/>
      </w:tcPr>
    </w:tblStylePr>
    <w:tblStylePr w:type="nwCell">
      <w:tblPr/>
      <w:tcPr>
        <w:shd w:val="clear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fill="FFFFFF"/>
      </w:tcPr>
    </w:tblStylePr>
    <w:tblStylePr w:type="nwCell">
      <w:tblPr/>
      <w:tcPr>
        <w:shd w:val="clear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fill="FFFFFF"/>
      </w:tcPr>
    </w:tblStylePr>
    <w:tblStylePr w:type="nwCell">
      <w:tblPr/>
      <w:tcPr>
        <w:shd w:val="clear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fill="FFFFFF"/>
      </w:tcPr>
    </w:tblStylePr>
    <w:tblStylePr w:type="nwCell">
      <w:tblPr/>
      <w:tcPr>
        <w:shd w:val="clear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fill="FFFFF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fill="FFFFF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fill="FFFFF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fill="FFFFF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fill="FFFFF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fill="FFFFF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fill="FFFFF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fill="FFFFFF"/>
      </w:tcPr>
    </w:tblStylePr>
    <w:tblStylePr w:type="fir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 w:themeShade="99"/>
          <w:insideV w:val="nil" w:color="000000"/>
        </w:tcBorders>
        <w:shd w:val="clear" w:fill="FFFFFF"/>
      </w:tcPr>
    </w:tblStylePr>
    <w:tblStylePr w:type="la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fill="FFFFFF"/>
      </w:tcPr>
    </w:tblStylePr>
    <w:tblStylePr w:type="fir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 w:themeShade="99"/>
          <w:insideV w:val="nil" w:color="000000"/>
        </w:tcBorders>
        <w:shd w:val="clear" w:fill="FFFFFF"/>
      </w:tcPr>
    </w:tblStylePr>
    <w:tblStylePr w:type="la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fill="FFFFFF"/>
      </w:tcPr>
    </w:tblStylePr>
    <w:tblStylePr w:type="fir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 w:themeShade="99"/>
          <w:insideV w:val="nil" w:color="000000"/>
        </w:tcBorders>
        <w:shd w:val="clear" w:fill="FFFFFF"/>
      </w:tcPr>
    </w:tblStylePr>
    <w:tblStylePr w:type="la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fill="FFFFFF"/>
      </w:tcPr>
    </w:tblStylePr>
    <w:tblStylePr w:type="fir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 w:themeShade="99"/>
          <w:insideV w:val="nil" w:color="000000"/>
        </w:tcBorders>
        <w:shd w:val="clear" w:fill="FFFFFF"/>
      </w:tcPr>
    </w:tblStylePr>
    <w:tblStylePr w:type="la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fill="FFFFFF"/>
      </w:tcPr>
    </w:tblStylePr>
    <w:tblStylePr w:type="fir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 w:themeShade="99"/>
          <w:insideV w:val="nil" w:color="000000"/>
        </w:tcBorders>
        <w:shd w:val="clear" w:fill="FFFFFF"/>
      </w:tcPr>
    </w:tblStylePr>
    <w:tblStylePr w:type="la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fill="FFFFFF"/>
      </w:tcPr>
    </w:tblStylePr>
    <w:tblStylePr w:type="fir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 w:themeShade="99"/>
          <w:insideV w:val="nil" w:color="000000"/>
        </w:tcBorders>
        <w:shd w:val="clear" w:fill="FFFFFF"/>
      </w:tcPr>
    </w:tblStylePr>
    <w:tblStylePr w:type="la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fill="FFFFFF"/>
      </w:tcPr>
    </w:tblStylePr>
    <w:tblStylePr w:type="fir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 w:themeShade="99"/>
          <w:insideV w:val="nil" w:color="000000"/>
        </w:tcBorders>
        <w:shd w:val="clear" w:fill="FFFFFF"/>
      </w:tcPr>
    </w:tblStylePr>
    <w:tblStylePr w:type="la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shd w:val="clear" w:fill="FFFFFF"/>
      </w:tcPr>
    </w:tblStylePr>
    <w:tblStylePr w:type="firstCol">
      <w:rPr>
        <w:color w:val="000000"/>
      </w:rPr>
      <w:tblPr/>
      <w:tcPr>
        <w:shd w:val="clear" w:fill="FFFFFF"/>
      </w:tcPr>
    </w:tblStylePr>
    <w:tblStylePr w:type="lastCol">
      <w:rPr>
        <w:color w:val="000000"/>
      </w:rPr>
      <w:tblPr/>
      <w:tcPr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shd w:val="clear" w:fill="FFFFFF"/>
      </w:tcPr>
    </w:tblStylePr>
    <w:tblStylePr w:type="firstCol">
      <w:rPr>
        <w:color w:val="000000"/>
      </w:rPr>
      <w:tblPr/>
      <w:tcPr>
        <w:shd w:val="clear" w:fill="FFFFFF"/>
      </w:tcPr>
    </w:tblStylePr>
    <w:tblStylePr w:type="lastCol">
      <w:rPr>
        <w:color w:val="000000"/>
      </w:rPr>
      <w:tblPr/>
      <w:tcPr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shd w:val="clear" w:fill="FFFFFF"/>
      </w:tcPr>
    </w:tblStylePr>
    <w:tblStylePr w:type="firstCol">
      <w:rPr>
        <w:color w:val="000000"/>
      </w:rPr>
      <w:tblPr/>
      <w:tcPr>
        <w:shd w:val="clear" w:fill="FFFFFF"/>
      </w:tcPr>
    </w:tblStylePr>
    <w:tblStylePr w:type="lastCol">
      <w:rPr>
        <w:color w:val="000000"/>
      </w:rPr>
      <w:tblPr/>
      <w:tcPr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shd w:val="clear" w:fill="FFFFFF"/>
      </w:tcPr>
    </w:tblStylePr>
    <w:tblStylePr w:type="firstCol">
      <w:rPr>
        <w:color w:val="000000"/>
      </w:rPr>
      <w:tblPr/>
      <w:tcPr>
        <w:shd w:val="clear" w:fill="FFFFFF"/>
      </w:tcPr>
    </w:tblStylePr>
    <w:tblStylePr w:type="lastCol">
      <w:rPr>
        <w:color w:val="000000"/>
      </w:rPr>
      <w:tblPr/>
      <w:tcPr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shd w:val="clear" w:fill="FFFFFF"/>
      </w:tcPr>
    </w:tblStylePr>
    <w:tblStylePr w:type="firstCol">
      <w:rPr>
        <w:color w:val="000000"/>
      </w:rPr>
      <w:tblPr/>
      <w:tcPr>
        <w:shd w:val="clear" w:fill="FFFFFF"/>
      </w:tcPr>
    </w:tblStylePr>
    <w:tblStylePr w:type="lastCol">
      <w:rPr>
        <w:color w:val="000000"/>
      </w:rPr>
      <w:tblPr/>
      <w:tcPr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shd w:val="clear" w:fill="FFFFFF"/>
      </w:tcPr>
    </w:tblStylePr>
    <w:tblStylePr w:type="firstCol">
      <w:rPr>
        <w:color w:val="000000"/>
      </w:rPr>
      <w:tblPr/>
      <w:tcPr>
        <w:shd w:val="clear" w:fill="FFFFFF"/>
      </w:tcPr>
    </w:tblStylePr>
    <w:tblStylePr w:type="lastCol">
      <w:rPr>
        <w:color w:val="000000"/>
      </w:rPr>
      <w:tblPr/>
      <w:tcPr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shd w:val="clear" w:fill="FFFFFF"/>
      </w:tcPr>
    </w:tblStylePr>
    <w:tblStylePr w:type="firstCol">
      <w:rPr>
        <w:color w:val="000000"/>
      </w:rPr>
      <w:tblPr/>
      <w:tcPr>
        <w:shd w:val="clear" w:fill="FFFFFF"/>
      </w:tcPr>
    </w:tblStylePr>
    <w:tblStylePr w:type="lastCol">
      <w:rPr>
        <w:color w:val="000000"/>
      </w:rPr>
      <w:tblPr/>
      <w:tcPr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paragraph" w:customStyle="1" w:styleId="Sources">
    <w:name w:val="Sources"/>
    <w:basedOn w:val="Normal"/>
    <w:pPr>
      <w:keepLines/>
      <w:spacing w:line="276" w:lineRule="auto" w:after="120" w:before="0"/>
      <w:ind w:firstLine="0"/>
      <w:jc w:val="left"/>
    </w:pPr>
    <w:rPr>
      <w:rFonts w:ascii="Times New Roman" w:hAnsi="Times New Roman" w:eastAsia="Times New Roman" w:cs="Times New Roman"/>
      <w:b w:val="0"/>
      <w:color w:val="000000"/>
      <w:sz w:val="24"/>
    </w:rPr>
  </w:style>
  <w:style w:type="paragraph" w:customStyle="1" w:styleId="Note">
    <w:name w:val="Note"/>
    <w:basedOn w:val="Normal"/>
    <w:pPr>
      <w:spacing w:line="276" w:lineRule="auto" w:before="0" w:after="120"/>
      <w:ind w:firstLine="0"/>
      <w:jc w:val="left"/>
    </w:pPr>
    <w:rPr>
      <w:rFonts w:ascii="Times New Roman" w:hAnsi="Times New Roman" w:eastAsia="Times New Roman" w:cs="Times New Roman"/>
      <w:b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 w:color="000000"/>
          <w:bottom w:val="single" w:sz="8" w:space="0" w:color="000000"/>
          <w:right w:val="nil" w:color="000000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fill="FFFFF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Tint="BF"/>
          <w:left w:val="single" w:sz="8" w:space="0" w:color="000000" w:themeTint="BF"/>
          <w:bottom w:val="single" w:sz="8" w:space="0" w:color="000000" w:themeTint="BF"/>
          <w:right w:val="single" w:sz="8" w:space="0" w:color="000000" w:themeTint="BF"/>
          <w:insideH w:val="nil" w:color="000000"/>
          <w:insideV w:val="nil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nil" w:color="000000"/>
          <w:insideV w:val="nil" w:color="000000"/>
        </w:tcBorders>
        <w:shd w:val="clear" w:fill="FFFFFF"/>
      </w:tcPr>
    </w:tblStylePr>
    <w:tblStylePr w:type="band2Horz">
      <w:tblPr/>
      <w:tcPr>
        <w:tcBorders>
          <w:insideH w:val="nil" w:color="000000"/>
          <w:insideV w:val="nil" w:color="00000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color w:val="000000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color w:val="000000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color w:val="000000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color w:val="000000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color w:val="000000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color w:val="000000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color w:val="000000"/>
      </w:rPr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 w:color="000000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fill="FFFFFF"/>
      </w:tcPr>
    </w:tblStylePr>
    <w:tblStylePr w:type="nwCell">
      <w:tblPr/>
      <w:tcPr>
        <w:shd w:val="clear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fill="FFFFFF"/>
      </w:tcPr>
    </w:tblStylePr>
    <w:tblStylePr w:type="nwCell">
      <w:tblPr/>
      <w:tcPr>
        <w:shd w:val="clear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fill="FFFFFF"/>
      </w:tcPr>
    </w:tblStylePr>
    <w:tblStylePr w:type="nwCell">
      <w:tblPr/>
      <w:tcPr>
        <w:shd w:val="clear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fill="FFFFFF"/>
      </w:tcPr>
    </w:tblStylePr>
    <w:tblStylePr w:type="nwCell">
      <w:tblPr/>
      <w:tcPr>
        <w:shd w:val="clear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fill="FFFFFF"/>
      </w:tcPr>
    </w:tblStylePr>
    <w:tblStylePr w:type="nwCell">
      <w:tblPr/>
      <w:tcPr>
        <w:shd w:val="clear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fill="FFFFFF"/>
      </w:tcPr>
    </w:tblStylePr>
    <w:tblStylePr w:type="nwCell">
      <w:tblPr/>
      <w:tcPr>
        <w:shd w:val="clear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left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bottom w:val="nil" w:color="000000"/>
          <w:insideH w:val="nil" w:color="000000"/>
          <w:insideV w:val="nil" w:color="000000"/>
        </w:tcBorders>
        <w:shd w:val="clear" w:fill="FFFFFF"/>
      </w:tcPr>
    </w:tblStylePr>
    <w:tblStylePr w:type="nwCell">
      <w:tblPr/>
      <w:tcPr>
        <w:shd w:val="clear" w:fill="FFFFFF"/>
      </w:tcPr>
    </w:tblStylePr>
    <w:tblStylePr w:type="swCell">
      <w:tblPr/>
      <w:tcPr>
        <w:tcBorders>
          <w:top w:val="nil" w:color="00000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  <w:insideV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  <w:insideV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  <w:insideV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  <w:insideV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  <w:insideV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  <w:insideV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Tint="BF"/>
        <w:left w:val="single" w:sz="8" w:space="0" w:color="000000" w:themeTint="BF"/>
        <w:bottom w:val="single" w:sz="8" w:space="0" w:color="000000" w:themeTint="BF"/>
        <w:right w:val="single" w:sz="8" w:space="0" w:color="000000" w:themeTint="BF"/>
        <w:insideH w:val="single" w:sz="8" w:space="0" w:color="000000" w:themeTint="BF"/>
        <w:insideV w:val="single" w:sz="8" w:space="0" w:color="000000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fill="FFFFFF"/>
      </w:tcPr>
    </w:tblStylePr>
    <w:tblStylePr w:type="nwCell">
      <w:tblPr/>
      <w:tcPr>
        <w:shd w:val="clear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fill="FFFFFF"/>
      </w:tcPr>
    </w:tblStylePr>
    <w:tblStylePr w:type="nwCell">
      <w:tblPr/>
      <w:tcPr>
        <w:shd w:val="clear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fill="FFFFFF"/>
      </w:tcPr>
    </w:tblStylePr>
    <w:tblStylePr w:type="nwCell">
      <w:tblPr/>
      <w:tcPr>
        <w:shd w:val="clear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fill="FFFFFF"/>
      </w:tcPr>
    </w:tblStylePr>
    <w:tblStylePr w:type="nwCell">
      <w:tblPr/>
      <w:tcPr>
        <w:shd w:val="clear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fill="FFFFFF"/>
      </w:tcPr>
    </w:tblStylePr>
    <w:tblStylePr w:type="nwCell">
      <w:tblPr/>
      <w:tcPr>
        <w:shd w:val="clear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fill="FFFFFF"/>
      </w:tcPr>
    </w:tblStylePr>
    <w:tblStylePr w:type="nwCell">
      <w:tblPr/>
      <w:tcPr>
        <w:shd w:val="clear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rPr>
        <w:b/>
        <w:bCs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fill="FFFFFF"/>
      </w:tcPr>
    </w:tblStylePr>
    <w:tblStylePr w:type="nwCell">
      <w:tblPr/>
      <w:tcPr>
        <w:shd w:val="clear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fill="FFFFF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fill="FFFFF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fill="FFFFF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fill="FFFFF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fill="FFFFF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fill="FFFFF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single" w:sz="8" w:space="0" w:color="000000"/>
        </w:tcBorders>
        <w:shd w:val="clear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 w:color="000000"/>
          <w:left w:val="single" w:sz="24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fill="FFFFF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18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tblPr/>
      <w:tcPr>
        <w:tcBorders>
          <w:top w:val="single" w:sz="18" w:space="0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firstCol">
      <w:tblPr/>
      <w:tcPr>
        <w:tcBorders>
          <w:top w:val="nil" w:color="000000"/>
          <w:left w:val="nil" w:color="000000"/>
          <w:bottom w:val="nil" w:color="000000"/>
          <w:right w:val="single" w:sz="18" w:space="0" w:color="000000"/>
          <w:insideH w:val="nil" w:color="000000"/>
          <w:insideV w:val="nil" w:color="000000"/>
        </w:tcBorders>
        <w:shd w:val="clear" w:fill="FFFFFF"/>
      </w:tcPr>
    </w:tblStylePr>
    <w:tblStylePr w:type="lastCol">
      <w:tblPr/>
      <w:tcPr>
        <w:tcBorders>
          <w:top w:val="nil" w:color="000000"/>
          <w:left w:val="single" w:sz="18" w:space="0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fill="FFFFFF"/>
      </w:tcPr>
    </w:tblStylePr>
    <w:tblStylePr w:type="fir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 w:themeShade="99"/>
          <w:insideV w:val="nil" w:color="000000"/>
        </w:tcBorders>
        <w:shd w:val="clear" w:fill="FFFFFF"/>
      </w:tcPr>
    </w:tblStylePr>
    <w:tblStylePr w:type="la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fill="FFFFFF"/>
      </w:tcPr>
    </w:tblStylePr>
    <w:tblStylePr w:type="fir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 w:themeShade="99"/>
          <w:insideV w:val="nil" w:color="000000"/>
        </w:tcBorders>
        <w:shd w:val="clear" w:fill="FFFFFF"/>
      </w:tcPr>
    </w:tblStylePr>
    <w:tblStylePr w:type="la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fill="FFFFFF"/>
      </w:tcPr>
    </w:tblStylePr>
    <w:tblStylePr w:type="fir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 w:themeShade="99"/>
          <w:insideV w:val="nil" w:color="000000"/>
        </w:tcBorders>
        <w:shd w:val="clear" w:fill="FFFFFF"/>
      </w:tcPr>
    </w:tblStylePr>
    <w:tblStylePr w:type="la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fill="FFFFFF"/>
      </w:tcPr>
    </w:tblStylePr>
    <w:tblStylePr w:type="fir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 w:themeShade="99"/>
          <w:insideV w:val="nil" w:color="000000"/>
        </w:tcBorders>
        <w:shd w:val="clear" w:fill="FFFFFF"/>
      </w:tcPr>
    </w:tblStylePr>
    <w:tblStylePr w:type="la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fill="FFFFFF"/>
      </w:tcPr>
    </w:tblStylePr>
    <w:tblStylePr w:type="fir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 w:themeShade="99"/>
          <w:insideV w:val="nil" w:color="000000"/>
        </w:tcBorders>
        <w:shd w:val="clear" w:fill="FFFFFF"/>
      </w:tcPr>
    </w:tblStylePr>
    <w:tblStylePr w:type="la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fill="FFFFFF"/>
      </w:tcPr>
    </w:tblStylePr>
    <w:tblStylePr w:type="fir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 w:themeShade="99"/>
          <w:insideV w:val="nil" w:color="000000"/>
        </w:tcBorders>
        <w:shd w:val="clear" w:fill="FFFFFF"/>
      </w:tcPr>
    </w:tblStylePr>
    <w:tblStylePr w:type="la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tcBorders>
          <w:top w:val="nil" w:color="000000"/>
          <w:left w:val="nil" w:color="000000"/>
          <w:bottom w:val="single" w:sz="24" w:space="0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fill="FFFFFF"/>
      </w:tcPr>
    </w:tblStylePr>
    <w:tblStylePr w:type="fir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single" w:sz="4" w:space="0" w:color="000000" w:themeShade="99"/>
          <w:insideV w:val="nil" w:color="000000"/>
        </w:tcBorders>
        <w:shd w:val="clear" w:fill="FFFFFF"/>
      </w:tcPr>
    </w:tblStylePr>
    <w:tblStylePr w:type="lastCol">
      <w:rPr>
        <w:color w:val="000000"/>
      </w:rPr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color="000000"/>
          <w:left w:val="nil" w:color="000000"/>
          <w:bottom w:val="nil" w:color="000000"/>
          <w:right w:val="nil" w:color="000000"/>
          <w:insideH w:val="nil" w:color="000000"/>
          <w:insideV w:val="nil" w:color="000000"/>
        </w:tcBorders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shd w:val="clear" w:fill="FFFFFF"/>
      </w:tcPr>
    </w:tblStylePr>
    <w:tblStylePr w:type="firstCol">
      <w:rPr>
        <w:color w:val="000000"/>
      </w:rPr>
      <w:tblPr/>
      <w:tcPr>
        <w:shd w:val="clear" w:fill="FFFFFF"/>
      </w:tcPr>
    </w:tblStylePr>
    <w:tblStylePr w:type="lastCol">
      <w:rPr>
        <w:color w:val="000000"/>
      </w:rPr>
      <w:tblPr/>
      <w:tcPr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shd w:val="clear" w:fill="FFFFFF"/>
      </w:tcPr>
    </w:tblStylePr>
    <w:tblStylePr w:type="firstCol">
      <w:rPr>
        <w:color w:val="000000"/>
      </w:rPr>
      <w:tblPr/>
      <w:tcPr>
        <w:shd w:val="clear" w:fill="FFFFFF"/>
      </w:tcPr>
    </w:tblStylePr>
    <w:tblStylePr w:type="lastCol">
      <w:rPr>
        <w:color w:val="000000"/>
      </w:rPr>
      <w:tblPr/>
      <w:tcPr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shd w:val="clear" w:fill="FFFFFF"/>
      </w:tcPr>
    </w:tblStylePr>
    <w:tblStylePr w:type="firstCol">
      <w:rPr>
        <w:color w:val="000000"/>
      </w:rPr>
      <w:tblPr/>
      <w:tcPr>
        <w:shd w:val="clear" w:fill="FFFFFF"/>
      </w:tcPr>
    </w:tblStylePr>
    <w:tblStylePr w:type="lastCol">
      <w:rPr>
        <w:color w:val="000000"/>
      </w:rPr>
      <w:tblPr/>
      <w:tcPr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shd w:val="clear" w:fill="FFFFFF"/>
      </w:tcPr>
    </w:tblStylePr>
    <w:tblStylePr w:type="firstCol">
      <w:rPr>
        <w:color w:val="000000"/>
      </w:rPr>
      <w:tblPr/>
      <w:tcPr>
        <w:shd w:val="clear" w:fill="FFFFFF"/>
      </w:tcPr>
    </w:tblStylePr>
    <w:tblStylePr w:type="lastCol">
      <w:rPr>
        <w:color w:val="000000"/>
      </w:rPr>
      <w:tblPr/>
      <w:tcPr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shd w:val="clear" w:fill="FFFFFF"/>
      </w:tcPr>
    </w:tblStylePr>
    <w:tblStylePr w:type="firstCol">
      <w:rPr>
        <w:color w:val="000000"/>
      </w:rPr>
      <w:tblPr/>
      <w:tcPr>
        <w:shd w:val="clear" w:fill="FFFFFF"/>
      </w:tcPr>
    </w:tblStylePr>
    <w:tblStylePr w:type="lastCol">
      <w:rPr>
        <w:color w:val="000000"/>
      </w:rPr>
      <w:tblPr/>
      <w:tcPr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shd w:val="clear" w:fill="FFFFFF"/>
      </w:tcPr>
    </w:tblStylePr>
    <w:tblStylePr w:type="firstCol">
      <w:rPr>
        <w:color w:val="000000"/>
      </w:rPr>
      <w:tblPr/>
      <w:tcPr>
        <w:shd w:val="clear" w:fill="FFFFFF"/>
      </w:tcPr>
    </w:tblStylePr>
    <w:tblStylePr w:type="lastCol">
      <w:rPr>
        <w:color w:val="000000"/>
      </w:rPr>
      <w:tblPr/>
      <w:tcPr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fill="FFFFFF"/>
    </w:tcPr>
    <w:tblStylePr w:type="firstRow">
      <w:rPr>
        <w:b/>
        <w:bCs/>
      </w:rPr>
      <w:tblPr/>
      <w:tcPr>
        <w:shd w:val="clear" w:fill="FFFFFF"/>
      </w:tcPr>
    </w:tblStylePr>
    <w:tblStylePr w:type="lastRow">
      <w:rPr>
        <w:b/>
        <w:bCs/>
        <w:color w:val="000000"/>
      </w:rPr>
      <w:tblPr/>
      <w:tcPr>
        <w:shd w:val="clear" w:fill="FFFFFF"/>
      </w:tcPr>
    </w:tblStylePr>
    <w:tblStylePr w:type="firstCol">
      <w:rPr>
        <w:color w:val="000000"/>
      </w:rPr>
      <w:tblPr/>
      <w:tcPr>
        <w:shd w:val="clear" w:fill="FFFFFF"/>
      </w:tcPr>
    </w:tblStylePr>
    <w:tblStylePr w:type="lastCol">
      <w:rPr>
        <w:color w:val="000000"/>
      </w:rPr>
      <w:tblPr/>
      <w:tcPr>
        <w:shd w:val="clear" w:fill="FFFFFF"/>
      </w:tcPr>
    </w:tblStylePr>
    <w:tblStylePr w:type="band1Vert">
      <w:tblPr/>
      <w:tcPr>
        <w:shd w:val="clear" w:fill="FFFFFF"/>
      </w:tcPr>
    </w:tblStylePr>
    <w:tblStylePr w:type="band1Horz">
      <w:tblPr/>
      <w:tcPr>
        <w:shd w:val="clear" w:fill="FFFFF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2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Предложение темы исследования экспорта интегральных схем</dc:title>
  <dc:subject>Материалы для обсуждения с научным руководителем</dc:subject>
  <dc:creator>Артём</dc:creator>
  <cp:keywords>международная торговля, интегральные схемы, концентрация экспорта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