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Шаблон отчёта по лабораторной работе</w:t>
      </w:r>
    </w:p>
    <w:p>
      <w:pPr>
        <w:pStyle w:val="Subtitle"/>
      </w:pPr>
      <w:r>
        <w:t xml:space="preserve">Простейший вариант</w:t>
      </w:r>
    </w:p>
    <w:p>
      <w:pPr>
        <w:pStyle w:val="Author"/>
      </w:pPr>
      <w:r>
        <w:t xml:space="preserve">Дмитрий Сергеевич Кулябов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Здесь приводится формулировка цели лабораторной работы.</w:t>
      </w:r>
      <w:r>
        <w:t xml:space="preserve"> </w:t>
      </w:r>
      <w:r>
        <w:t xml:space="preserve">Формулировки цели для каждой лабораторной работы приведены в методических указаниях.</w:t>
      </w:r>
    </w:p>
    <w:p>
      <w:pPr>
        <w:pStyle w:val="BodyText"/>
      </w:pPr>
      <w:r>
        <w:t xml:space="preserve">Цель данного шаблона — максимально упростить подготовку отчётов по лабораторным работам.</w:t>
      </w:r>
      <w:r>
        <w:t xml:space="preserve"> </w:t>
      </w:r>
      <w:r>
        <w:t xml:space="preserve">Модифицируя данный шаблон, студенты смогут без труда подготовить отчёт по лабораторным работам, а также познакомиться с основными возможностями разметки Markdown.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Здесь приводится описание задания в соответствии с рекомендациями методического пособия и выданным вариантом.</w:t>
      </w:r>
    </w:p>
    <w:bookmarkEnd w:id="21"/>
    <w:bookmarkStart w:id="23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Здесь описываются теоретические аспекты, связанные с выполнением работы.</w:t>
      </w:r>
    </w:p>
    <w:p>
      <w:pPr>
        <w:pStyle w:val="BodyText"/>
      </w:pPr>
      <w:r>
        <w:t xml:space="preserve">Например, в</w:t>
      </w:r>
      <w:r>
        <w:t xml:space="preserve"> </w:t>
      </w:r>
      <w:hyperlink w:anchor="tbl-std-dir">
        <w:r>
          <w:rPr>
            <w:rStyle w:val="Hyperlink"/>
          </w:rPr>
          <w:t xml:space="preserve">табл. 1</w:t>
        </w:r>
      </w:hyperlink>
      <w:r>
        <w:t xml:space="preserve"> </w:t>
      </w:r>
      <w:r>
        <w:t xml:space="preserve">приведено краткое описание стандартных каталогов Unix.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std-dir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1: Описание некоторых каталогов файловой системы GNU Linux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803"/>
              <w:gridCol w:w="711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Имя каталога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Описание каталога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Корневая директория, содержащая всю файловую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/bin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Основные системные утилиты, необходимые как в однопользовательском режиме, так и при обычной работе всем пользователям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/etc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Общесистемные конфигурационные файлы и файлы конфигурации установленных программ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/home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Содержит домашние директории пользователей, которые, в свою очередь, содержат персональные настройки и данные пользователя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/media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Точки монтирования для сменных носителей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/root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Домашняя директория пользователя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root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/tmp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Временные файлы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/usr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Вторичная иерархия для данных пользователя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t xml:space="preserve">Более подробно про Unix см. в</w:t>
      </w:r>
      <w:r>
        <w:t xml:space="preserve"> </w:t>
      </w:r>
      <w:r>
        <w:t xml:space="preserve">[</w:t>
      </w:r>
      <w:r>
        <w:rPr>
          <w:b/>
          <w:bCs/>
        </w:rPr>
        <w:t xml:space="preserve">tanenbaum_book_modern-os_ru?</w:t>
      </w:r>
      <w:r>
        <w:t xml:space="preserve">,</w:t>
      </w:r>
      <w:r>
        <w:rPr>
          <w:b/>
          <w:bCs/>
        </w:rPr>
        <w:t xml:space="preserve">robbins_book_bash_en?</w:t>
      </w:r>
      <w:r>
        <w:t xml:space="preserve">,</w:t>
      </w:r>
      <w:r>
        <w:rPr>
          <w:b/>
          <w:bCs/>
        </w:rPr>
        <w:t xml:space="preserve">zarrelli_book_mastering-bash_en?</w:t>
      </w:r>
      <w:r>
        <w:t xml:space="preserve">,</w:t>
      </w:r>
      <w:r>
        <w:rPr>
          <w:b/>
          <w:bCs/>
        </w:rPr>
        <w:t xml:space="preserve">newham_book_learning-bash_en?</w:t>
      </w:r>
      <w:r>
        <w:t xml:space="preserve">]</w:t>
      </w:r>
      <w:r>
        <w:t xml:space="preserve">.</w:t>
      </w:r>
    </w:p>
    <w:bookmarkEnd w:id="23"/>
    <w:bookmarkStart w:id="28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Описываются проведённые действия, в качестве иллюстрации даётся ссылка на иллюстрацию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fig-001"/>
          <w:p>
            <w:pPr>
              <w:pStyle w:val="Compact"/>
              <w:jc w:val="center"/>
            </w:pPr>
            <w:r>
              <w:drawing>
                <wp:inline>
                  <wp:extent cx="3733800" cy="1938906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image/solvay.jp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389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V Сольвеевский конгресс (1927) «Электроны и фотоны»</w:t>
            </w:r>
          </w:p>
          <w:bookmarkEnd w:id="27"/>
        </w:tc>
      </w:tr>
    </w:tbl>
    <w:bookmarkEnd w:id="28"/>
    <w:bookmarkStart w:id="29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Здесь кратко описываются итоги проделанной работы.</w:t>
      </w:r>
    </w:p>
    <w:bookmarkEnd w:id="29"/>
    <w:bookmarkStart w:id="31" w:name="список-литературы"/>
    <w:p>
      <w:pPr>
        <w:pStyle w:val="Heading1"/>
      </w:pPr>
      <w:r>
        <w:t xml:space="preserve">Список литературы</w:t>
      </w:r>
    </w:p>
    <w:bookmarkStart w:id="30" w:name="refs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отчёта по лабораторной работе</dc:title>
  <dc:creator>Дмитрий Сергеевич Кулябов</dc:creator>
  <dc:language>ru-RU</dc:language>
  <cp:keywords/>
  <dcterms:created xsi:type="dcterms:W3CDTF">2026-08-25T22:18:38Z</dcterms:created>
  <dcterms:modified xsi:type="dcterms:W3CDTF">2026-08-25T22:18:38Z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engine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julia">
    <vt:lpwstr/>
  </property>
  <property fmtid="{D5CDD505-2E9C-101B-9397-08002B2CF9AE}" pid="15" name="labels">
    <vt:lpwstr/>
  </property>
  <property fmtid="{D5CDD505-2E9C-101B-9397-08002B2CF9AE}" pid="16" name="license">
    <vt:lpwstr/>
  </property>
  <property fmtid="{D5CDD505-2E9C-101B-9397-08002B2CF9AE}" pid="17" name="subtitle">
    <vt:lpwstr>Простейший вариант</vt:lpwstr>
  </property>
  <property fmtid="{D5CDD505-2E9C-101B-9397-08002B2CF9AE}" pid="18" name="toc-title">
    <vt:lpwstr>Содержание</vt:lpwstr>
  </property>
</Properties>
</file>