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avis disparus puis réapparus</w:t>
      </w:r>
    </w:p>
    <w:p>
      <w:r>
        <w:rPr>
          <w:i/>
          <w:color w:val="52514E"/>
          <w:sz w:val="21"/>
        </w:rPr>
        <w:t>ReviewFlowz — suppressions d'avis Google — 18 septembre 2026 — 4,88 millions d'avis sur 9 048 fiches, relevés du 11 au 24 août 2026</w:t>
      </w:r>
    </w:p>
    <w:p>
      <w:pPr>
        <w:pStyle w:val="Heading1"/>
      </w:pPr>
      <w:r>
        <w:t>Ce qu'il faut retenir</w:t>
      </w:r>
    </w:p>
    <w:p>
      <w:pPr>
        <w:pStyle w:val="ListBullet"/>
      </w:pPr>
      <w:r>
        <w:t>602 avis ont quitté le listing de leur fiche puis y sont revenus pendant les quatorze jours de suivi, en 617 épisodes. Sur les 4 877 534 avis suivis, cela fait 0,012 %.</w:t>
      </w:r>
    </w:p>
    <w:p>
      <w:pPr>
        <w:pStyle w:val="ListBullet"/>
      </w:pPr>
      <w:r>
        <w:t>Deux retours sur trois suivent une absence d'une seule journée : 424 épisodes sur 617. La règle du projet les compte comme des ratés du robot, et leur forme le confirme — ils arrivent par paquets sur une même fiche le même jour.</w:t>
      </w:r>
    </w:p>
    <w:p>
      <w:pPr>
        <w:pStyle w:val="ListBullet"/>
      </w:pPr>
      <w:r>
        <w:t>167 avis sont revenus après une absence de deux jours ou plus, sur 150 fiches. C'est la population qui compte : un retrait qui a tenu plusieurs jours, puis a été annulé. Rapporté aux 5 109 avis ayant disparu au moins une fois pendant le suivi, cela fait un retrait annulé sur trente.</w:t>
      </w:r>
    </w:p>
    <w:p>
      <w:pPr>
        <w:pStyle w:val="ListBullet"/>
      </w:pPr>
      <w:r>
        <w:t>Sur les seuls retraits qui ont tenu deux jours ou plus, et rapporté à la taille du secteur, les services à domicile et la santé arrivent en tête avec 51 et 50 avis revenus pour un million d'avis du secteur ; l'hôtellerie ferme la marche à 17. Tous retours confondus, y compris ceux du lendemain, l'automobile passe en tête à 199.</w:t>
      </w:r>
    </w:p>
    <w:p>
      <w:pPr>
        <w:pStyle w:val="ListBullet"/>
      </w:pPr>
      <w:r>
        <w:t>Un avis américain revient 2,3 fois plus souvent qu'un avis européen : 46 contre 20 pour un million d'avis de la région.</w:t>
      </w:r>
    </w:p>
    <w:p>
      <w:pPr>
        <w:pStyle w:val="Heading1"/>
      </w:pPr>
      <w:r>
        <w:t>Ce qu'on a compté</w:t>
      </w:r>
    </w:p>
    <w:p>
      <w:r>
        <w:t>Le robot crée une ligne par période de présence continue d'un avis. Un avis vu sans interruption du 11 au 24 août a donc une seule ligne. Un avis que le robot ne retrouve plus, puis qu'il revoit, en a deux : la première porte une date de disparition, la seconde une nouvelle date de première observation. Un avis à trois lignes a disparu deux fois.</w:t>
      </w:r>
    </w:p>
    <w:p>
      <w:r>
        <w:t>Les lignes d'historique, qui enregistrent la modification d'un avis par son auteur, ne signalent aucune absence et sont écartées. Sur ce périmètre, la table compte 4 878 151 lignes de présence pour 4 877 534 avis, soit 617 lignes en trop portées par 602 avis. Ces deux chiffres sont ceux de la documentation du projet.</w:t>
      </w:r>
    </w:p>
    <w:p>
      <w:r>
        <w:t>Un épisode est un couple : une ligne qui disparaît, la ligne suivante qui revient. Les 602 avis concernés portent 617 épisodes. Le document dit à chaque fois lequel des deux il compte.</w:t>
      </w:r>
    </w:p>
    <w:p>
      <w:r>
        <w:rPr>
          <w:i/>
          <w:color w:val="52514E"/>
          <w:sz w:val="21"/>
        </w:rPr>
        <w:t>Source : data/bigquery/reviews.parquet, copie locale de la table reviews. Régénérer avec etudes-ponctuelles/2026-09-18-reapparitions/reapparitions.py</w:t>
      </w:r>
    </w:p>
    <w:p>
      <w:pPr>
        <w:pStyle w:val="Heading1"/>
      </w:pPr>
      <w:r>
        <w:t>1. Le raté du robot et le vrai retour se distinguent</w:t>
      </w:r>
    </w:p>
    <w:p>
      <w:pPr>
        <w:jc w:val="center"/>
      </w:pPr>
      <w:r>
        <w:drawing>
          <wp:inline xmlns:a="http://schemas.openxmlformats.org/drawingml/2006/main" xmlns:pic="http://schemas.openxmlformats.org/drawingml/2006/picture">
            <wp:extent cx="5760720" cy="2354870"/>
            <wp:docPr id="1" name="Picture 1"/>
            <wp:cNvGraphicFramePr>
              <a:graphicFrameLocks noChangeAspect="1"/>
            </wp:cNvGraphicFramePr>
            <a:graphic>
              <a:graphicData uri="http://schemas.openxmlformats.org/drawingml/2006/picture">
                <pic:pic>
                  <pic:nvPicPr>
                    <pic:cNvPr id="0" name="figure1-duree-absence.png"/>
                    <pic:cNvPicPr/>
                  </pic:nvPicPr>
                  <pic:blipFill>
                    <a:blip r:embed="rId9"/>
                    <a:stretch>
                      <a:fillRect/>
                    </a:stretch>
                  </pic:blipFill>
                  <pic:spPr>
                    <a:xfrm>
                      <a:off x="0" y="0"/>
                      <a:ext cx="5760720" cy="2354870"/>
                    </a:xfrm>
                    <a:prstGeom prst="rect"/>
                  </pic:spPr>
                </pic:pic>
              </a:graphicData>
            </a:graphic>
          </wp:inline>
        </w:drawing>
      </w:r>
    </w:p>
    <w:p>
      <w:pPr>
        <w:jc w:val="center"/>
      </w:pPr>
      <w:r>
        <w:rPr>
          <w:color w:val="52514E"/>
          <w:sz w:val="18"/>
        </w:rPr>
        <w:t>Figure 1 — Répartition des 617 épisodes selon le nombre de jours d'absence.</w:t>
      </w:r>
    </w:p>
    <w:p>
      <w:r>
        <w:t>La règle du projet veut qu'une absence d'un seul jour soit un raté de collecte et qu'une absence de deux jours ou plus soit une vraie suppression. Les données lui donnent raison, et pour une raison qui se voit sans modèle : les deux populations n'ont pas la même forme.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Absence d'un jour</w:t>
            </w:r>
          </w:p>
        </w:tc>
        <w:tc>
          <w:tcPr>
            <w:tcW w:type="dxa" w:w="2880"/>
          </w:tcPr>
          <w:p>
            <w:r/>
            <w:r>
              <w:rPr>
                <w:b/>
                <w:sz w:val="19"/>
              </w:rPr>
              <w:t>Absence de 2 jours ou plus</w:t>
            </w:r>
          </w:p>
        </w:tc>
      </w:tr>
      <w:tr>
        <w:tc>
          <w:tcPr>
            <w:tcW w:type="dxa" w:w="2880"/>
          </w:tcPr>
          <w:p>
            <w:r/>
            <w:r>
              <w:rPr>
                <w:sz w:val="19"/>
              </w:rPr>
              <w:t>Avis concernés</w:t>
            </w:r>
          </w:p>
        </w:tc>
        <w:tc>
          <w:tcPr>
            <w:tcW w:type="dxa" w:w="2880"/>
          </w:tcPr>
          <w:p>
            <w:pPr>
              <w:jc w:val="right"/>
            </w:pPr>
            <w:r/>
            <w:r>
              <w:rPr>
                <w:sz w:val="19"/>
              </w:rPr>
              <w:t>415</w:t>
            </w:r>
          </w:p>
        </w:tc>
        <w:tc>
          <w:tcPr>
            <w:tcW w:type="dxa" w:w="2880"/>
          </w:tcPr>
          <w:p>
            <w:pPr>
              <w:jc w:val="right"/>
            </w:pPr>
            <w:r/>
            <w:r>
              <w:rPr>
                <w:sz w:val="19"/>
              </w:rPr>
              <w:t>167</w:t>
            </w:r>
          </w:p>
        </w:tc>
      </w:tr>
      <w:tr>
        <w:tc>
          <w:tcPr>
            <w:tcW w:type="dxa" w:w="2880"/>
          </w:tcPr>
          <w:p>
            <w:r/>
            <w:r>
              <w:rPr>
                <w:sz w:val="19"/>
              </w:rPr>
              <w:t>Fiches concernées</w:t>
            </w:r>
          </w:p>
        </w:tc>
        <w:tc>
          <w:tcPr>
            <w:tcW w:type="dxa" w:w="2880"/>
          </w:tcPr>
          <w:p>
            <w:pPr>
              <w:jc w:val="right"/>
            </w:pPr>
            <w:r/>
            <w:r>
              <w:rPr>
                <w:sz w:val="19"/>
              </w:rPr>
              <w:t>156</w:t>
            </w:r>
          </w:p>
        </w:tc>
        <w:tc>
          <w:tcPr>
            <w:tcW w:type="dxa" w:w="2880"/>
          </w:tcPr>
          <w:p>
            <w:pPr>
              <w:jc w:val="right"/>
            </w:pPr>
            <w:r/>
            <w:r>
              <w:rPr>
                <w:sz w:val="19"/>
              </w:rPr>
              <w:t>150</w:t>
            </w:r>
          </w:p>
        </w:tc>
      </w:tr>
      <w:tr>
        <w:tc>
          <w:tcPr>
            <w:tcW w:type="dxa" w:w="2880"/>
          </w:tcPr>
          <w:p>
            <w:r/>
            <w:r>
              <w:rPr>
                <w:sz w:val="19"/>
              </w:rPr>
              <w:t>Avis par fiche touchée</w:t>
            </w:r>
          </w:p>
        </w:tc>
        <w:tc>
          <w:tcPr>
            <w:tcW w:type="dxa" w:w="2880"/>
          </w:tcPr>
          <w:p>
            <w:pPr>
              <w:jc w:val="right"/>
            </w:pPr>
            <w:r/>
            <w:r>
              <w:rPr>
                <w:sz w:val="19"/>
              </w:rPr>
              <w:t>2,7</w:t>
            </w:r>
          </w:p>
        </w:tc>
        <w:tc>
          <w:tcPr>
            <w:tcW w:type="dxa" w:w="2880"/>
          </w:tcPr>
          <w:p>
            <w:pPr>
              <w:jc w:val="right"/>
            </w:pPr>
            <w:r/>
            <w:r>
              <w:rPr>
                <w:sz w:val="19"/>
              </w:rPr>
              <w:t>1,1</w:t>
            </w:r>
          </w:p>
        </w:tc>
      </w:tr>
      <w:tr>
        <w:tc>
          <w:tcPr>
            <w:tcW w:type="dxa" w:w="2880"/>
          </w:tcPr>
          <w:p>
            <w:r/>
            <w:r>
              <w:rPr>
                <w:sz w:val="19"/>
              </w:rPr>
              <w:t>Le plus gros paquet sur une fiche</w:t>
            </w:r>
          </w:p>
        </w:tc>
        <w:tc>
          <w:tcPr>
            <w:tcW w:type="dxa" w:w="2880"/>
          </w:tcPr>
          <w:p>
            <w:pPr>
              <w:jc w:val="right"/>
            </w:pPr>
            <w:r/>
            <w:r>
              <w:rPr>
                <w:sz w:val="19"/>
              </w:rPr>
              <w:t>35 avis</w:t>
            </w:r>
          </w:p>
        </w:tc>
        <w:tc>
          <w:tcPr>
            <w:tcW w:type="dxa" w:w="2880"/>
          </w:tcPr>
          <w:p>
            <w:pPr>
              <w:jc w:val="right"/>
            </w:pPr>
            <w:r/>
            <w:r>
              <w:rPr>
                <w:sz w:val="19"/>
              </w:rPr>
              <w:t>5 avis</w:t>
            </w:r>
          </w:p>
        </w:tc>
      </w:tr>
    </w:tbl>
    <w:p/>
    <w:p>
      <w:r>
        <w:t>Le raté de collecte emporte plusieurs dizaines d'avis d'une même fiche d'un coup. Boutique The Boxer Club Dr Castelo en est le cas le plus net : cette fiche grecque perd 35 de ses 816 avis le 12 août et les retrouve tous le lendemain. Le vrai retour, lui, est dispersé — 167 avis sur 150 fiches, soit un peu plus d'un par fiche.</w:t>
      </w:r>
    </w:p>
    <w:p>
      <w:r>
        <w:t>Reste un troisième cas, déjà documenté : 24 épisodes reviennent après deux jours ou plus avec un texte entièrement différent. Ce sont les bugs d'enregistrement, écartés de tous les comptages ci-dessous.</w:t>
      </w:r>
    </w:p>
    <w:p>
      <w:pPr>
        <w:pStyle w:val="Heading1"/>
      </w:pPr>
      <w:r>
        <w:t>2. Les secteurs</w:t>
      </w:r>
    </w:p>
    <w:p>
      <w:r>
        <w:t>Cette partie retient tous les avis revenus, y compris ceux qui réapparaissent dès le lendemain : 568 avis sur les 276 fiches touchées. Les bugs d'enregistrement en sont écartés, le texte de l'avis devant être le même avant et après l'absence.</w:t>
      </w:r>
    </w:p>
    <w:p>
      <w:pPr>
        <w:jc w:val="center"/>
      </w:pPr>
      <w:r>
        <w:drawing>
          <wp:inline xmlns:a="http://schemas.openxmlformats.org/drawingml/2006/main" xmlns:pic="http://schemas.openxmlformats.org/drawingml/2006/picture">
            <wp:extent cx="5760720" cy="2901211"/>
            <wp:docPr id="2" name="Picture 2"/>
            <wp:cNvGraphicFramePr>
              <a:graphicFrameLocks noChangeAspect="1"/>
            </wp:cNvGraphicFramePr>
            <a:graphic>
              <a:graphicData uri="http://schemas.openxmlformats.org/drawingml/2006/picture">
                <pic:pic>
                  <pic:nvPicPr>
                    <pic:cNvPr id="0" name="figure2a-secteurs-par-million.png"/>
                    <pic:cNvPicPr/>
                  </pic:nvPicPr>
                  <pic:blipFill>
                    <a:blip r:embed="rId10"/>
                    <a:stretch>
                      <a:fillRect/>
                    </a:stretch>
                  </pic:blipFill>
                  <pic:spPr>
                    <a:xfrm>
                      <a:off x="0" y="0"/>
                      <a:ext cx="5760720" cy="2901211"/>
                    </a:xfrm>
                    <a:prstGeom prst="rect"/>
                  </pic:spPr>
                </pic:pic>
              </a:graphicData>
            </a:graphic>
          </wp:inline>
        </w:drawing>
      </w:r>
    </w:p>
    <w:p>
      <w:pPr>
        <w:jc w:val="center"/>
      </w:pPr>
      <w:r>
        <w:rPr>
          <w:color w:val="52514E"/>
          <w:sz w:val="18"/>
        </w:rPr>
        <w:t>Figure 2a — Avis revenus pour un million d'avis du secteur.</w:t>
      </w:r>
    </w:p>
    <w:p>
      <w:pPr>
        <w:jc w:val="center"/>
      </w:pPr>
      <w:r>
        <w:drawing>
          <wp:inline xmlns:a="http://schemas.openxmlformats.org/drawingml/2006/main" xmlns:pic="http://schemas.openxmlformats.org/drawingml/2006/picture">
            <wp:extent cx="5760720" cy="2913261"/>
            <wp:docPr id="3" name="Picture 3"/>
            <wp:cNvGraphicFramePr>
              <a:graphicFrameLocks noChangeAspect="1"/>
            </wp:cNvGraphicFramePr>
            <a:graphic>
              <a:graphicData uri="http://schemas.openxmlformats.org/drawingml/2006/picture">
                <pic:pic>
                  <pic:nvPicPr>
                    <pic:cNvPr id="0" name="figure2b-secteurs-en-volume.png"/>
                    <pic:cNvPicPr/>
                  </pic:nvPicPr>
                  <pic:blipFill>
                    <a:blip r:embed="rId11"/>
                    <a:stretch>
                      <a:fillRect/>
                    </a:stretch>
                  </pic:blipFill>
                  <pic:spPr>
                    <a:xfrm>
                      <a:off x="0" y="0"/>
                      <a:ext cx="5760720" cy="2913261"/>
                    </a:xfrm>
                    <a:prstGeom prst="rect"/>
                  </pic:spPr>
                </pic:pic>
              </a:graphicData>
            </a:graphic>
          </wp:inline>
        </w:drawing>
      </w:r>
    </w:p>
    <w:p>
      <w:pPr>
        <w:jc w:val="center"/>
      </w:pPr>
      <w:r>
        <w:rPr>
          <w:color w:val="52514E"/>
          <w:sz w:val="18"/>
        </w:rPr>
        <w:t>Figure 2b — Les mêmes avis, en nombre brut.</w:t>
      </w:r>
    </w:p>
    <w:p>
      <w:r>
        <w:t>Les deux figures ne classent pas les secteurs dans le même ordre, et l'écart se lit directement. La restauration est troisième en nombre d'avis revenus, avec 91, et cinquième une fois rapportée à ses 1 183 267 avis. Le voyage fait le chemin inverse : dernier en nombre avec 14 avis, sixième une fois rapporté à ses 217 511. L'automobile arrive en tête des deux.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Secteur</w:t>
            </w:r>
          </w:p>
        </w:tc>
        <w:tc>
          <w:tcPr>
            <w:tcW w:type="dxa" w:w="1234"/>
          </w:tcPr>
          <w:p>
            <w:r/>
            <w:r>
              <w:rPr>
                <w:b/>
                <w:sz w:val="19"/>
              </w:rPr>
              <w:t>Avis du secteur</w:t>
            </w:r>
          </w:p>
        </w:tc>
        <w:tc>
          <w:tcPr>
            <w:tcW w:type="dxa" w:w="1234"/>
          </w:tcPr>
          <w:p>
            <w:r/>
            <w:r>
              <w:rPr>
                <w:b/>
                <w:sz w:val="19"/>
              </w:rPr>
              <w:t>Avis revenus</w:t>
            </w:r>
          </w:p>
        </w:tc>
        <w:tc>
          <w:tcPr>
            <w:tcW w:type="dxa" w:w="1234"/>
          </w:tcPr>
          <w:p>
            <w:r/>
            <w:r>
              <w:rPr>
                <w:b/>
                <w:sz w:val="19"/>
              </w:rPr>
              <w:t>dont dès le lendemain</w:t>
            </w:r>
          </w:p>
        </w:tc>
        <w:tc>
          <w:tcPr>
            <w:tcW w:type="dxa" w:w="1234"/>
          </w:tcPr>
          <w:p>
            <w:r/>
            <w:r>
              <w:rPr>
                <w:b/>
                <w:sz w:val="19"/>
              </w:rPr>
              <w:t>dont après 2 jours ou plus</w:t>
            </w:r>
          </w:p>
        </w:tc>
        <w:tc>
          <w:tcPr>
            <w:tcW w:type="dxa" w:w="1234"/>
          </w:tcPr>
          <w:p>
            <w:r/>
            <w:r>
              <w:rPr>
                <w:b/>
                <w:sz w:val="19"/>
              </w:rPr>
              <w:t>Fiches</w:t>
            </w:r>
          </w:p>
        </w:tc>
        <w:tc>
          <w:tcPr>
            <w:tcW w:type="dxa" w:w="1234"/>
          </w:tcPr>
          <w:p>
            <w:r/>
            <w:r>
              <w:rPr>
                <w:b/>
                <w:sz w:val="19"/>
              </w:rPr>
              <w:t>Pour un million</w:t>
            </w:r>
          </w:p>
        </w:tc>
      </w:tr>
      <w:tr>
        <w:tc>
          <w:tcPr>
            <w:tcW w:type="dxa" w:w="1234"/>
          </w:tcPr>
          <w:p>
            <w:r/>
            <w:r>
              <w:rPr>
                <w:sz w:val="19"/>
              </w:rPr>
              <w:t>Automobile</w:t>
            </w:r>
          </w:p>
        </w:tc>
        <w:tc>
          <w:tcPr>
            <w:tcW w:type="dxa" w:w="1234"/>
          </w:tcPr>
          <w:p>
            <w:pPr>
              <w:jc w:val="right"/>
            </w:pPr>
            <w:r/>
            <w:r>
              <w:rPr>
                <w:sz w:val="19"/>
              </w:rPr>
              <w:t>654 126</w:t>
            </w:r>
          </w:p>
        </w:tc>
        <w:tc>
          <w:tcPr>
            <w:tcW w:type="dxa" w:w="1234"/>
          </w:tcPr>
          <w:p>
            <w:pPr>
              <w:jc w:val="right"/>
            </w:pPr>
            <w:r/>
            <w:r>
              <w:rPr>
                <w:sz w:val="19"/>
              </w:rPr>
              <w:t>130</w:t>
            </w:r>
          </w:p>
        </w:tc>
        <w:tc>
          <w:tcPr>
            <w:tcW w:type="dxa" w:w="1234"/>
          </w:tcPr>
          <w:p>
            <w:pPr>
              <w:jc w:val="right"/>
            </w:pPr>
            <w:r/>
            <w:r>
              <w:rPr>
                <w:sz w:val="19"/>
              </w:rPr>
              <w:t>101</w:t>
            </w:r>
          </w:p>
        </w:tc>
        <w:tc>
          <w:tcPr>
            <w:tcW w:type="dxa" w:w="1234"/>
          </w:tcPr>
          <w:p>
            <w:pPr>
              <w:jc w:val="right"/>
            </w:pPr>
            <w:r/>
            <w:r>
              <w:rPr>
                <w:sz w:val="19"/>
              </w:rPr>
              <w:t>29</w:t>
            </w:r>
          </w:p>
        </w:tc>
        <w:tc>
          <w:tcPr>
            <w:tcW w:type="dxa" w:w="1234"/>
          </w:tcPr>
          <w:p>
            <w:pPr>
              <w:jc w:val="right"/>
            </w:pPr>
            <w:r/>
            <w:r>
              <w:rPr>
                <w:sz w:val="19"/>
              </w:rPr>
              <w:t>44</w:t>
            </w:r>
          </w:p>
        </w:tc>
        <w:tc>
          <w:tcPr>
            <w:tcW w:type="dxa" w:w="1234"/>
          </w:tcPr>
          <w:p>
            <w:pPr>
              <w:jc w:val="right"/>
            </w:pPr>
            <w:r/>
            <w:r>
              <w:rPr>
                <w:sz w:val="19"/>
              </w:rPr>
              <w:t>199</w:t>
            </w:r>
          </w:p>
        </w:tc>
      </w:tr>
      <w:tr>
        <w:tc>
          <w:tcPr>
            <w:tcW w:type="dxa" w:w="1234"/>
          </w:tcPr>
          <w:p>
            <w:r/>
            <w:r>
              <w:rPr>
                <w:sz w:val="19"/>
              </w:rPr>
              <w:t>Services à domicile</w:t>
            </w:r>
          </w:p>
        </w:tc>
        <w:tc>
          <w:tcPr>
            <w:tcW w:type="dxa" w:w="1234"/>
          </w:tcPr>
          <w:p>
            <w:pPr>
              <w:jc w:val="right"/>
            </w:pPr>
            <w:r/>
            <w:r>
              <w:rPr>
                <w:sz w:val="19"/>
              </w:rPr>
              <w:t>761 309</w:t>
            </w:r>
          </w:p>
        </w:tc>
        <w:tc>
          <w:tcPr>
            <w:tcW w:type="dxa" w:w="1234"/>
          </w:tcPr>
          <w:p>
            <w:pPr>
              <w:jc w:val="right"/>
            </w:pPr>
            <w:r/>
            <w:r>
              <w:rPr>
                <w:sz w:val="19"/>
              </w:rPr>
              <w:t>126</w:t>
            </w:r>
          </w:p>
        </w:tc>
        <w:tc>
          <w:tcPr>
            <w:tcW w:type="dxa" w:w="1234"/>
          </w:tcPr>
          <w:p>
            <w:pPr>
              <w:jc w:val="right"/>
            </w:pPr>
            <w:r/>
            <w:r>
              <w:rPr>
                <w:sz w:val="19"/>
              </w:rPr>
              <w:t>89</w:t>
            </w:r>
          </w:p>
        </w:tc>
        <w:tc>
          <w:tcPr>
            <w:tcW w:type="dxa" w:w="1234"/>
          </w:tcPr>
          <w:p>
            <w:pPr>
              <w:jc w:val="right"/>
            </w:pPr>
            <w:r/>
            <w:r>
              <w:rPr>
                <w:sz w:val="19"/>
              </w:rPr>
              <w:t>39</w:t>
            </w:r>
          </w:p>
        </w:tc>
        <w:tc>
          <w:tcPr>
            <w:tcW w:type="dxa" w:w="1234"/>
          </w:tcPr>
          <w:p>
            <w:pPr>
              <w:jc w:val="right"/>
            </w:pPr>
            <w:r/>
            <w:r>
              <w:rPr>
                <w:sz w:val="19"/>
              </w:rPr>
              <w:t>67</w:t>
            </w:r>
          </w:p>
        </w:tc>
        <w:tc>
          <w:tcPr>
            <w:tcW w:type="dxa" w:w="1234"/>
          </w:tcPr>
          <w:p>
            <w:pPr>
              <w:jc w:val="right"/>
            </w:pPr>
            <w:r/>
            <w:r>
              <w:rPr>
                <w:sz w:val="19"/>
              </w:rPr>
              <w:t>166</w:t>
            </w:r>
          </w:p>
        </w:tc>
      </w:tr>
      <w:tr>
        <w:tc>
          <w:tcPr>
            <w:tcW w:type="dxa" w:w="1234"/>
          </w:tcPr>
          <w:p>
            <w:r/>
            <w:r>
              <w:rPr>
                <w:sz w:val="19"/>
              </w:rPr>
              <w:t>Santé</w:t>
            </w:r>
          </w:p>
        </w:tc>
        <w:tc>
          <w:tcPr>
            <w:tcW w:type="dxa" w:w="1234"/>
          </w:tcPr>
          <w:p>
            <w:pPr>
              <w:jc w:val="right"/>
            </w:pPr>
            <w:r/>
            <w:r>
              <w:rPr>
                <w:sz w:val="19"/>
              </w:rPr>
              <w:t>559 094</w:t>
            </w:r>
          </w:p>
        </w:tc>
        <w:tc>
          <w:tcPr>
            <w:tcW w:type="dxa" w:w="1234"/>
          </w:tcPr>
          <w:p>
            <w:pPr>
              <w:jc w:val="right"/>
            </w:pPr>
            <w:r/>
            <w:r>
              <w:rPr>
                <w:sz w:val="19"/>
              </w:rPr>
              <w:t>89</w:t>
            </w:r>
          </w:p>
        </w:tc>
        <w:tc>
          <w:tcPr>
            <w:tcW w:type="dxa" w:w="1234"/>
          </w:tcPr>
          <w:p>
            <w:pPr>
              <w:jc w:val="right"/>
            </w:pPr>
            <w:r/>
            <w:r>
              <w:rPr>
                <w:sz w:val="19"/>
              </w:rPr>
              <w:t>62</w:t>
            </w:r>
          </w:p>
        </w:tc>
        <w:tc>
          <w:tcPr>
            <w:tcW w:type="dxa" w:w="1234"/>
          </w:tcPr>
          <w:p>
            <w:pPr>
              <w:jc w:val="right"/>
            </w:pPr>
            <w:r/>
            <w:r>
              <w:rPr>
                <w:sz w:val="19"/>
              </w:rPr>
              <w:t>28</w:t>
            </w:r>
          </w:p>
        </w:tc>
        <w:tc>
          <w:tcPr>
            <w:tcW w:type="dxa" w:w="1234"/>
          </w:tcPr>
          <w:p>
            <w:pPr>
              <w:jc w:val="right"/>
            </w:pPr>
            <w:r/>
            <w:r>
              <w:rPr>
                <w:sz w:val="19"/>
              </w:rPr>
              <w:t>43</w:t>
            </w:r>
          </w:p>
        </w:tc>
        <w:tc>
          <w:tcPr>
            <w:tcW w:type="dxa" w:w="1234"/>
          </w:tcPr>
          <w:p>
            <w:pPr>
              <w:jc w:val="right"/>
            </w:pPr>
            <w:r/>
            <w:r>
              <w:rPr>
                <w:sz w:val="19"/>
              </w:rPr>
              <w:t>159</w:t>
            </w:r>
          </w:p>
        </w:tc>
      </w:tr>
      <w:tr>
        <w:tc>
          <w:tcPr>
            <w:tcW w:type="dxa" w:w="1234"/>
          </w:tcPr>
          <w:p>
            <w:r/>
            <w:r>
              <w:rPr>
                <w:sz w:val="19"/>
              </w:rPr>
              <w:t>Sport et bien-être</w:t>
            </w:r>
          </w:p>
        </w:tc>
        <w:tc>
          <w:tcPr>
            <w:tcW w:type="dxa" w:w="1234"/>
          </w:tcPr>
          <w:p>
            <w:pPr>
              <w:jc w:val="right"/>
            </w:pPr>
            <w:r/>
            <w:r>
              <w:rPr>
                <w:sz w:val="19"/>
              </w:rPr>
              <w:t>512 172</w:t>
            </w:r>
          </w:p>
        </w:tc>
        <w:tc>
          <w:tcPr>
            <w:tcW w:type="dxa" w:w="1234"/>
          </w:tcPr>
          <w:p>
            <w:pPr>
              <w:jc w:val="right"/>
            </w:pPr>
            <w:r/>
            <w:r>
              <w:rPr>
                <w:sz w:val="19"/>
              </w:rPr>
              <w:t>72</w:t>
            </w:r>
          </w:p>
        </w:tc>
        <w:tc>
          <w:tcPr>
            <w:tcW w:type="dxa" w:w="1234"/>
          </w:tcPr>
          <w:p>
            <w:pPr>
              <w:jc w:val="right"/>
            </w:pPr>
            <w:r/>
            <w:r>
              <w:rPr>
                <w:sz w:val="19"/>
              </w:rPr>
              <w:t>54</w:t>
            </w:r>
          </w:p>
        </w:tc>
        <w:tc>
          <w:tcPr>
            <w:tcW w:type="dxa" w:w="1234"/>
          </w:tcPr>
          <w:p>
            <w:pPr>
              <w:jc w:val="right"/>
            </w:pPr>
            <w:r/>
            <w:r>
              <w:rPr>
                <w:sz w:val="19"/>
              </w:rPr>
              <w:t>18</w:t>
            </w:r>
          </w:p>
        </w:tc>
        <w:tc>
          <w:tcPr>
            <w:tcW w:type="dxa" w:w="1234"/>
          </w:tcPr>
          <w:p>
            <w:pPr>
              <w:jc w:val="right"/>
            </w:pPr>
            <w:r/>
            <w:r>
              <w:rPr>
                <w:sz w:val="19"/>
              </w:rPr>
              <w:t>26</w:t>
            </w:r>
          </w:p>
        </w:tc>
        <w:tc>
          <w:tcPr>
            <w:tcW w:type="dxa" w:w="1234"/>
          </w:tcPr>
          <w:p>
            <w:pPr>
              <w:jc w:val="right"/>
            </w:pPr>
            <w:r/>
            <w:r>
              <w:rPr>
                <w:sz w:val="19"/>
              </w:rPr>
              <w:t>141</w:t>
            </w:r>
          </w:p>
        </w:tc>
      </w:tr>
      <w:tr>
        <w:tc>
          <w:tcPr>
            <w:tcW w:type="dxa" w:w="1234"/>
          </w:tcPr>
          <w:p>
            <w:r/>
            <w:r>
              <w:rPr>
                <w:sz w:val="19"/>
              </w:rPr>
              <w:t>Restauration</w:t>
            </w:r>
          </w:p>
        </w:tc>
        <w:tc>
          <w:tcPr>
            <w:tcW w:type="dxa" w:w="1234"/>
          </w:tcPr>
          <w:p>
            <w:pPr>
              <w:jc w:val="right"/>
            </w:pPr>
            <w:r/>
            <w:r>
              <w:rPr>
                <w:sz w:val="19"/>
              </w:rPr>
              <w:t>1 183 267</w:t>
            </w:r>
          </w:p>
        </w:tc>
        <w:tc>
          <w:tcPr>
            <w:tcW w:type="dxa" w:w="1234"/>
          </w:tcPr>
          <w:p>
            <w:pPr>
              <w:jc w:val="right"/>
            </w:pPr>
            <w:r/>
            <w:r>
              <w:rPr>
                <w:sz w:val="19"/>
              </w:rPr>
              <w:t>91</w:t>
            </w:r>
          </w:p>
        </w:tc>
        <w:tc>
          <w:tcPr>
            <w:tcW w:type="dxa" w:w="1234"/>
          </w:tcPr>
          <w:p>
            <w:pPr>
              <w:jc w:val="right"/>
            </w:pPr>
            <w:r/>
            <w:r>
              <w:rPr>
                <w:sz w:val="19"/>
              </w:rPr>
              <w:t>63</w:t>
            </w:r>
          </w:p>
        </w:tc>
        <w:tc>
          <w:tcPr>
            <w:tcW w:type="dxa" w:w="1234"/>
          </w:tcPr>
          <w:p>
            <w:pPr>
              <w:jc w:val="right"/>
            </w:pPr>
            <w:r/>
            <w:r>
              <w:rPr>
                <w:sz w:val="19"/>
              </w:rPr>
              <w:t>29</w:t>
            </w:r>
          </w:p>
        </w:tc>
        <w:tc>
          <w:tcPr>
            <w:tcW w:type="dxa" w:w="1234"/>
          </w:tcPr>
          <w:p>
            <w:pPr>
              <w:jc w:val="right"/>
            </w:pPr>
            <w:r/>
            <w:r>
              <w:rPr>
                <w:sz w:val="19"/>
              </w:rPr>
              <w:t>49</w:t>
            </w:r>
          </w:p>
        </w:tc>
        <w:tc>
          <w:tcPr>
            <w:tcW w:type="dxa" w:w="1234"/>
          </w:tcPr>
          <w:p>
            <w:pPr>
              <w:jc w:val="right"/>
            </w:pPr>
            <w:r/>
            <w:r>
              <w:rPr>
                <w:sz w:val="19"/>
              </w:rPr>
              <w:t>77</w:t>
            </w:r>
          </w:p>
        </w:tc>
      </w:tr>
      <w:tr>
        <w:tc>
          <w:tcPr>
            <w:tcW w:type="dxa" w:w="1234"/>
          </w:tcPr>
          <w:p>
            <w:r/>
            <w:r>
              <w:rPr>
                <w:sz w:val="19"/>
              </w:rPr>
              <w:t>Voyage</w:t>
            </w:r>
          </w:p>
        </w:tc>
        <w:tc>
          <w:tcPr>
            <w:tcW w:type="dxa" w:w="1234"/>
          </w:tcPr>
          <w:p>
            <w:pPr>
              <w:jc w:val="right"/>
            </w:pPr>
            <w:r/>
            <w:r>
              <w:rPr>
                <w:sz w:val="19"/>
              </w:rPr>
              <w:t>217 511</w:t>
            </w:r>
          </w:p>
        </w:tc>
        <w:tc>
          <w:tcPr>
            <w:tcW w:type="dxa" w:w="1234"/>
          </w:tcPr>
          <w:p>
            <w:pPr>
              <w:jc w:val="right"/>
            </w:pPr>
            <w:r/>
            <w:r>
              <w:rPr>
                <w:sz w:val="19"/>
              </w:rPr>
              <w:t>14</w:t>
            </w:r>
          </w:p>
        </w:tc>
        <w:tc>
          <w:tcPr>
            <w:tcW w:type="dxa" w:w="1234"/>
          </w:tcPr>
          <w:p>
            <w:pPr>
              <w:jc w:val="right"/>
            </w:pPr>
            <w:r/>
            <w:r>
              <w:rPr>
                <w:sz w:val="19"/>
              </w:rPr>
              <w:t>7</w:t>
            </w:r>
          </w:p>
        </w:tc>
        <w:tc>
          <w:tcPr>
            <w:tcW w:type="dxa" w:w="1234"/>
          </w:tcPr>
          <w:p>
            <w:pPr>
              <w:jc w:val="right"/>
            </w:pPr>
            <w:r/>
            <w:r>
              <w:rPr>
                <w:sz w:val="19"/>
              </w:rPr>
              <w:t>7</w:t>
            </w:r>
          </w:p>
        </w:tc>
        <w:tc>
          <w:tcPr>
            <w:tcW w:type="dxa" w:w="1234"/>
          </w:tcPr>
          <w:p>
            <w:pPr>
              <w:jc w:val="right"/>
            </w:pPr>
            <w:r/>
            <w:r>
              <w:rPr>
                <w:sz w:val="19"/>
              </w:rPr>
              <w:t>12</w:t>
            </w:r>
          </w:p>
        </w:tc>
        <w:tc>
          <w:tcPr>
            <w:tcW w:type="dxa" w:w="1234"/>
          </w:tcPr>
          <w:p>
            <w:pPr>
              <w:jc w:val="right"/>
            </w:pPr>
            <w:r/>
            <w:r>
              <w:rPr>
                <w:sz w:val="19"/>
              </w:rPr>
              <w:t>64</w:t>
            </w:r>
          </w:p>
        </w:tc>
      </w:tr>
      <w:tr>
        <w:tc>
          <w:tcPr>
            <w:tcW w:type="dxa" w:w="1234"/>
          </w:tcPr>
          <w:p>
            <w:r/>
            <w:r>
              <w:rPr>
                <w:sz w:val="19"/>
              </w:rPr>
              <w:t>Hôtellerie</w:t>
            </w:r>
          </w:p>
        </w:tc>
        <w:tc>
          <w:tcPr>
            <w:tcW w:type="dxa" w:w="1234"/>
          </w:tcPr>
          <w:p>
            <w:pPr>
              <w:jc w:val="right"/>
            </w:pPr>
            <w:r/>
            <w:r>
              <w:rPr>
                <w:sz w:val="19"/>
              </w:rPr>
              <w:t>990 672</w:t>
            </w:r>
          </w:p>
        </w:tc>
        <w:tc>
          <w:tcPr>
            <w:tcW w:type="dxa" w:w="1234"/>
          </w:tcPr>
          <w:p>
            <w:pPr>
              <w:jc w:val="right"/>
            </w:pPr>
            <w:r/>
            <w:r>
              <w:rPr>
                <w:sz w:val="19"/>
              </w:rPr>
              <w:t>46</w:t>
            </w:r>
          </w:p>
        </w:tc>
        <w:tc>
          <w:tcPr>
            <w:tcW w:type="dxa" w:w="1234"/>
          </w:tcPr>
          <w:p>
            <w:pPr>
              <w:jc w:val="right"/>
            </w:pPr>
            <w:r/>
            <w:r>
              <w:rPr>
                <w:sz w:val="19"/>
              </w:rPr>
              <w:t>29</w:t>
            </w:r>
          </w:p>
        </w:tc>
        <w:tc>
          <w:tcPr>
            <w:tcW w:type="dxa" w:w="1234"/>
          </w:tcPr>
          <w:p>
            <w:pPr>
              <w:jc w:val="right"/>
            </w:pPr>
            <w:r/>
            <w:r>
              <w:rPr>
                <w:sz w:val="19"/>
              </w:rPr>
              <w:t>17</w:t>
            </w:r>
          </w:p>
        </w:tc>
        <w:tc>
          <w:tcPr>
            <w:tcW w:type="dxa" w:w="1234"/>
          </w:tcPr>
          <w:p>
            <w:pPr>
              <w:jc w:val="right"/>
            </w:pPr>
            <w:r/>
            <w:r>
              <w:rPr>
                <w:sz w:val="19"/>
              </w:rPr>
              <w:t>35</w:t>
            </w:r>
          </w:p>
        </w:tc>
        <w:tc>
          <w:tcPr>
            <w:tcW w:type="dxa" w:w="1234"/>
          </w:tcPr>
          <w:p>
            <w:pPr>
              <w:jc w:val="right"/>
            </w:pPr>
            <w:r/>
            <w:r>
              <w:rPr>
                <w:sz w:val="19"/>
              </w:rPr>
              <w:t>46</w:t>
            </w:r>
          </w:p>
        </w:tc>
      </w:tr>
    </w:tbl>
    <w:p/>
    <w:p>
      <w:r>
        <w:t>Les deux colonnes de détail totalisent 405 et 167 avis, soit 572 pour une colonne « avis revenus » qui en affiche 568. L'écart tient à 4 avis qui ont clignoté deux fois, une fois d'une journée et une fois plus longtemps ; ils comptent dans les deux colonnes de détail et une seule fois dans le total.</w:t>
      </w:r>
    </w:p>
    <w:p>
      <w:pPr>
        <w:pStyle w:val="Heading2"/>
      </w:pPr>
      <w:r>
        <w:t>Les seuls retraits qui ont tenu plus d'un jour</w:t>
      </w:r>
    </w:p>
    <w:p>
      <w:r>
        <w:t>Le tableau ci-dessous reprend la colonne « après 2 jours ou plus » et lui ajoute la durée moyenne de l'absence. C'est la population dont on peut dire qu'un retrait a été annulé.</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Secteur</w:t>
            </w:r>
          </w:p>
        </w:tc>
        <w:tc>
          <w:tcPr>
            <w:tcW w:type="dxa" w:w="1440"/>
          </w:tcPr>
          <w:p>
            <w:r/>
            <w:r>
              <w:rPr>
                <w:b/>
                <w:sz w:val="19"/>
              </w:rPr>
              <w:t>Avis du secteur</w:t>
            </w:r>
          </w:p>
        </w:tc>
        <w:tc>
          <w:tcPr>
            <w:tcW w:type="dxa" w:w="1440"/>
          </w:tcPr>
          <w:p>
            <w:r/>
            <w:r>
              <w:rPr>
                <w:b/>
                <w:sz w:val="19"/>
              </w:rPr>
              <w:t>Avis revenus</w:t>
            </w:r>
          </w:p>
        </w:tc>
        <w:tc>
          <w:tcPr>
            <w:tcW w:type="dxa" w:w="1440"/>
          </w:tcPr>
          <w:p>
            <w:r/>
            <w:r>
              <w:rPr>
                <w:b/>
                <w:sz w:val="19"/>
              </w:rPr>
              <w:t>Fiches</w:t>
            </w:r>
          </w:p>
        </w:tc>
        <w:tc>
          <w:tcPr>
            <w:tcW w:type="dxa" w:w="1440"/>
          </w:tcPr>
          <w:p>
            <w:r/>
            <w:r>
              <w:rPr>
                <w:b/>
                <w:sz w:val="19"/>
              </w:rPr>
              <w:t>Pour un million</w:t>
            </w:r>
          </w:p>
        </w:tc>
        <w:tc>
          <w:tcPr>
            <w:tcW w:type="dxa" w:w="1440"/>
          </w:tcPr>
          <w:p>
            <w:r/>
            <w:r>
              <w:rPr>
                <w:b/>
                <w:sz w:val="19"/>
              </w:rPr>
              <w:t>Absence moyenne</w:t>
            </w:r>
          </w:p>
        </w:tc>
      </w:tr>
      <w:tr>
        <w:tc>
          <w:tcPr>
            <w:tcW w:type="dxa" w:w="1440"/>
          </w:tcPr>
          <w:p>
            <w:r/>
            <w:r>
              <w:rPr>
                <w:sz w:val="19"/>
              </w:rPr>
              <w:t>Services à domicile</w:t>
            </w:r>
          </w:p>
        </w:tc>
        <w:tc>
          <w:tcPr>
            <w:tcW w:type="dxa" w:w="1440"/>
          </w:tcPr>
          <w:p>
            <w:pPr>
              <w:jc w:val="right"/>
            </w:pPr>
            <w:r/>
            <w:r>
              <w:rPr>
                <w:sz w:val="19"/>
              </w:rPr>
              <w:t>761 309</w:t>
            </w:r>
          </w:p>
        </w:tc>
        <w:tc>
          <w:tcPr>
            <w:tcW w:type="dxa" w:w="1440"/>
          </w:tcPr>
          <w:p>
            <w:pPr>
              <w:jc w:val="right"/>
            </w:pPr>
            <w:r/>
            <w:r>
              <w:rPr>
                <w:sz w:val="19"/>
              </w:rPr>
              <w:t>39</w:t>
            </w:r>
          </w:p>
        </w:tc>
        <w:tc>
          <w:tcPr>
            <w:tcW w:type="dxa" w:w="1440"/>
          </w:tcPr>
          <w:p>
            <w:pPr>
              <w:jc w:val="right"/>
            </w:pPr>
            <w:r/>
            <w:r>
              <w:rPr>
                <w:sz w:val="19"/>
              </w:rPr>
              <w:t>38</w:t>
            </w:r>
          </w:p>
        </w:tc>
        <w:tc>
          <w:tcPr>
            <w:tcW w:type="dxa" w:w="1440"/>
          </w:tcPr>
          <w:p>
            <w:pPr>
              <w:jc w:val="right"/>
            </w:pPr>
            <w:r/>
            <w:r>
              <w:rPr>
                <w:sz w:val="19"/>
              </w:rPr>
              <w:t>51</w:t>
            </w:r>
          </w:p>
        </w:tc>
        <w:tc>
          <w:tcPr>
            <w:tcW w:type="dxa" w:w="1440"/>
          </w:tcPr>
          <w:p>
            <w:pPr>
              <w:jc w:val="right"/>
            </w:pPr>
            <w:r/>
            <w:r>
              <w:rPr>
                <w:sz w:val="19"/>
              </w:rPr>
              <w:t>4,4 j</w:t>
            </w:r>
          </w:p>
        </w:tc>
      </w:tr>
      <w:tr>
        <w:tc>
          <w:tcPr>
            <w:tcW w:type="dxa" w:w="1440"/>
          </w:tcPr>
          <w:p>
            <w:r/>
            <w:r>
              <w:rPr>
                <w:sz w:val="19"/>
              </w:rPr>
              <w:t>Santé</w:t>
            </w:r>
          </w:p>
        </w:tc>
        <w:tc>
          <w:tcPr>
            <w:tcW w:type="dxa" w:w="1440"/>
          </w:tcPr>
          <w:p>
            <w:pPr>
              <w:jc w:val="right"/>
            </w:pPr>
            <w:r/>
            <w:r>
              <w:rPr>
                <w:sz w:val="19"/>
              </w:rPr>
              <w:t>559 094</w:t>
            </w:r>
          </w:p>
        </w:tc>
        <w:tc>
          <w:tcPr>
            <w:tcW w:type="dxa" w:w="1440"/>
          </w:tcPr>
          <w:p>
            <w:pPr>
              <w:jc w:val="right"/>
            </w:pPr>
            <w:r/>
            <w:r>
              <w:rPr>
                <w:sz w:val="19"/>
              </w:rPr>
              <w:t>28</w:t>
            </w:r>
          </w:p>
        </w:tc>
        <w:tc>
          <w:tcPr>
            <w:tcW w:type="dxa" w:w="1440"/>
          </w:tcPr>
          <w:p>
            <w:pPr>
              <w:jc w:val="right"/>
            </w:pPr>
            <w:r/>
            <w:r>
              <w:rPr>
                <w:sz w:val="19"/>
              </w:rPr>
              <w:t>24</w:t>
            </w:r>
          </w:p>
        </w:tc>
        <w:tc>
          <w:tcPr>
            <w:tcW w:type="dxa" w:w="1440"/>
          </w:tcPr>
          <w:p>
            <w:pPr>
              <w:jc w:val="right"/>
            </w:pPr>
            <w:r/>
            <w:r>
              <w:rPr>
                <w:sz w:val="19"/>
              </w:rPr>
              <w:t>50</w:t>
            </w:r>
          </w:p>
        </w:tc>
        <w:tc>
          <w:tcPr>
            <w:tcW w:type="dxa" w:w="1440"/>
          </w:tcPr>
          <w:p>
            <w:pPr>
              <w:jc w:val="right"/>
            </w:pPr>
            <w:r/>
            <w:r>
              <w:rPr>
                <w:sz w:val="19"/>
              </w:rPr>
              <w:t>4,1 j</w:t>
            </w:r>
          </w:p>
        </w:tc>
      </w:tr>
      <w:tr>
        <w:tc>
          <w:tcPr>
            <w:tcW w:type="dxa" w:w="1440"/>
          </w:tcPr>
          <w:p>
            <w:r/>
            <w:r>
              <w:rPr>
                <w:sz w:val="19"/>
              </w:rPr>
              <w:t>Automobile</w:t>
            </w:r>
          </w:p>
        </w:tc>
        <w:tc>
          <w:tcPr>
            <w:tcW w:type="dxa" w:w="1440"/>
          </w:tcPr>
          <w:p>
            <w:pPr>
              <w:jc w:val="right"/>
            </w:pPr>
            <w:r/>
            <w:r>
              <w:rPr>
                <w:sz w:val="19"/>
              </w:rPr>
              <w:t>654 126</w:t>
            </w:r>
          </w:p>
        </w:tc>
        <w:tc>
          <w:tcPr>
            <w:tcW w:type="dxa" w:w="1440"/>
          </w:tcPr>
          <w:p>
            <w:pPr>
              <w:jc w:val="right"/>
            </w:pPr>
            <w:r/>
            <w:r>
              <w:rPr>
                <w:sz w:val="19"/>
              </w:rPr>
              <w:t>29</w:t>
            </w:r>
          </w:p>
        </w:tc>
        <w:tc>
          <w:tcPr>
            <w:tcW w:type="dxa" w:w="1440"/>
          </w:tcPr>
          <w:p>
            <w:pPr>
              <w:jc w:val="right"/>
            </w:pPr>
            <w:r/>
            <w:r>
              <w:rPr>
                <w:sz w:val="19"/>
              </w:rPr>
              <w:t>26</w:t>
            </w:r>
          </w:p>
        </w:tc>
        <w:tc>
          <w:tcPr>
            <w:tcW w:type="dxa" w:w="1440"/>
          </w:tcPr>
          <w:p>
            <w:pPr>
              <w:jc w:val="right"/>
            </w:pPr>
            <w:r/>
            <w:r>
              <w:rPr>
                <w:sz w:val="19"/>
              </w:rPr>
              <w:t>44</w:t>
            </w:r>
          </w:p>
        </w:tc>
        <w:tc>
          <w:tcPr>
            <w:tcW w:type="dxa" w:w="1440"/>
          </w:tcPr>
          <w:p>
            <w:pPr>
              <w:jc w:val="right"/>
            </w:pPr>
            <w:r/>
            <w:r>
              <w:rPr>
                <w:sz w:val="19"/>
              </w:rPr>
              <w:t>3,4 j</w:t>
            </w:r>
          </w:p>
        </w:tc>
      </w:tr>
      <w:tr>
        <w:tc>
          <w:tcPr>
            <w:tcW w:type="dxa" w:w="1440"/>
          </w:tcPr>
          <w:p>
            <w:r/>
            <w:r>
              <w:rPr>
                <w:sz w:val="19"/>
              </w:rPr>
              <w:t>Sport et bien-être</w:t>
            </w:r>
          </w:p>
        </w:tc>
        <w:tc>
          <w:tcPr>
            <w:tcW w:type="dxa" w:w="1440"/>
          </w:tcPr>
          <w:p>
            <w:pPr>
              <w:jc w:val="right"/>
            </w:pPr>
            <w:r/>
            <w:r>
              <w:rPr>
                <w:sz w:val="19"/>
              </w:rPr>
              <w:t>512 172</w:t>
            </w:r>
          </w:p>
        </w:tc>
        <w:tc>
          <w:tcPr>
            <w:tcW w:type="dxa" w:w="1440"/>
          </w:tcPr>
          <w:p>
            <w:pPr>
              <w:jc w:val="right"/>
            </w:pPr>
            <w:r/>
            <w:r>
              <w:rPr>
                <w:sz w:val="19"/>
              </w:rPr>
              <w:t>18</w:t>
            </w:r>
          </w:p>
        </w:tc>
        <w:tc>
          <w:tcPr>
            <w:tcW w:type="dxa" w:w="1440"/>
          </w:tcPr>
          <w:p>
            <w:pPr>
              <w:jc w:val="right"/>
            </w:pPr>
            <w:r/>
            <w:r>
              <w:rPr>
                <w:sz w:val="19"/>
              </w:rPr>
              <w:t>13</w:t>
            </w:r>
          </w:p>
        </w:tc>
        <w:tc>
          <w:tcPr>
            <w:tcW w:type="dxa" w:w="1440"/>
          </w:tcPr>
          <w:p>
            <w:pPr>
              <w:jc w:val="right"/>
            </w:pPr>
            <w:r/>
            <w:r>
              <w:rPr>
                <w:sz w:val="19"/>
              </w:rPr>
              <w:t>35</w:t>
            </w:r>
          </w:p>
        </w:tc>
        <w:tc>
          <w:tcPr>
            <w:tcW w:type="dxa" w:w="1440"/>
          </w:tcPr>
          <w:p>
            <w:pPr>
              <w:jc w:val="right"/>
            </w:pPr>
            <w:r/>
            <w:r>
              <w:rPr>
                <w:sz w:val="19"/>
              </w:rPr>
              <w:t>4,4 j</w:t>
            </w:r>
          </w:p>
        </w:tc>
      </w:tr>
      <w:tr>
        <w:tc>
          <w:tcPr>
            <w:tcW w:type="dxa" w:w="1440"/>
          </w:tcPr>
          <w:p>
            <w:r/>
            <w:r>
              <w:rPr>
                <w:sz w:val="19"/>
              </w:rPr>
              <w:t>Voyage</w:t>
            </w:r>
          </w:p>
        </w:tc>
        <w:tc>
          <w:tcPr>
            <w:tcW w:type="dxa" w:w="1440"/>
          </w:tcPr>
          <w:p>
            <w:pPr>
              <w:jc w:val="right"/>
            </w:pPr>
            <w:r/>
            <w:r>
              <w:rPr>
                <w:sz w:val="19"/>
              </w:rPr>
              <w:t>217 511</w:t>
            </w:r>
          </w:p>
        </w:tc>
        <w:tc>
          <w:tcPr>
            <w:tcW w:type="dxa" w:w="1440"/>
          </w:tcPr>
          <w:p>
            <w:pPr>
              <w:jc w:val="right"/>
            </w:pPr>
            <w:r/>
            <w:r>
              <w:rPr>
                <w:sz w:val="19"/>
              </w:rPr>
              <w:t>7</w:t>
            </w:r>
          </w:p>
        </w:tc>
        <w:tc>
          <w:tcPr>
            <w:tcW w:type="dxa" w:w="1440"/>
          </w:tcPr>
          <w:p>
            <w:pPr>
              <w:jc w:val="right"/>
            </w:pPr>
            <w:r/>
            <w:r>
              <w:rPr>
                <w:sz w:val="19"/>
              </w:rPr>
              <w:t>6</w:t>
            </w:r>
          </w:p>
        </w:tc>
        <w:tc>
          <w:tcPr>
            <w:tcW w:type="dxa" w:w="1440"/>
          </w:tcPr>
          <w:p>
            <w:pPr>
              <w:jc w:val="right"/>
            </w:pPr>
            <w:r/>
            <w:r>
              <w:rPr>
                <w:sz w:val="19"/>
              </w:rPr>
              <w:t>32</w:t>
            </w:r>
          </w:p>
        </w:tc>
        <w:tc>
          <w:tcPr>
            <w:tcW w:type="dxa" w:w="1440"/>
          </w:tcPr>
          <w:p>
            <w:pPr>
              <w:jc w:val="right"/>
            </w:pPr>
            <w:r/>
            <w:r>
              <w:rPr>
                <w:sz w:val="19"/>
              </w:rPr>
              <w:t>3,9 j</w:t>
            </w:r>
          </w:p>
        </w:tc>
      </w:tr>
      <w:tr>
        <w:tc>
          <w:tcPr>
            <w:tcW w:type="dxa" w:w="1440"/>
          </w:tcPr>
          <w:p>
            <w:r/>
            <w:r>
              <w:rPr>
                <w:sz w:val="19"/>
              </w:rPr>
              <w:t>Restauration</w:t>
            </w:r>
          </w:p>
        </w:tc>
        <w:tc>
          <w:tcPr>
            <w:tcW w:type="dxa" w:w="1440"/>
          </w:tcPr>
          <w:p>
            <w:pPr>
              <w:jc w:val="right"/>
            </w:pPr>
            <w:r/>
            <w:r>
              <w:rPr>
                <w:sz w:val="19"/>
              </w:rPr>
              <w:t>1 183 267</w:t>
            </w:r>
          </w:p>
        </w:tc>
        <w:tc>
          <w:tcPr>
            <w:tcW w:type="dxa" w:w="1440"/>
          </w:tcPr>
          <w:p>
            <w:pPr>
              <w:jc w:val="right"/>
            </w:pPr>
            <w:r/>
            <w:r>
              <w:rPr>
                <w:sz w:val="19"/>
              </w:rPr>
              <w:t>29</w:t>
            </w:r>
          </w:p>
        </w:tc>
        <w:tc>
          <w:tcPr>
            <w:tcW w:type="dxa" w:w="1440"/>
          </w:tcPr>
          <w:p>
            <w:pPr>
              <w:jc w:val="right"/>
            </w:pPr>
            <w:r/>
            <w:r>
              <w:rPr>
                <w:sz w:val="19"/>
              </w:rPr>
              <w:t>28</w:t>
            </w:r>
          </w:p>
        </w:tc>
        <w:tc>
          <w:tcPr>
            <w:tcW w:type="dxa" w:w="1440"/>
          </w:tcPr>
          <w:p>
            <w:pPr>
              <w:jc w:val="right"/>
            </w:pPr>
            <w:r/>
            <w:r>
              <w:rPr>
                <w:sz w:val="19"/>
              </w:rPr>
              <w:t>24</w:t>
            </w:r>
          </w:p>
        </w:tc>
        <w:tc>
          <w:tcPr>
            <w:tcW w:type="dxa" w:w="1440"/>
          </w:tcPr>
          <w:p>
            <w:pPr>
              <w:jc w:val="right"/>
            </w:pPr>
            <w:r/>
            <w:r>
              <w:rPr>
                <w:sz w:val="19"/>
              </w:rPr>
              <w:t>3,5 j</w:t>
            </w:r>
          </w:p>
        </w:tc>
      </w:tr>
      <w:tr>
        <w:tc>
          <w:tcPr>
            <w:tcW w:type="dxa" w:w="1440"/>
          </w:tcPr>
          <w:p>
            <w:r/>
            <w:r>
              <w:rPr>
                <w:sz w:val="19"/>
              </w:rPr>
              <w:t>Hôtellerie</w:t>
            </w:r>
          </w:p>
        </w:tc>
        <w:tc>
          <w:tcPr>
            <w:tcW w:type="dxa" w:w="1440"/>
          </w:tcPr>
          <w:p>
            <w:pPr>
              <w:jc w:val="right"/>
            </w:pPr>
            <w:r/>
            <w:r>
              <w:rPr>
                <w:sz w:val="19"/>
              </w:rPr>
              <w:t>990 672</w:t>
            </w:r>
          </w:p>
        </w:tc>
        <w:tc>
          <w:tcPr>
            <w:tcW w:type="dxa" w:w="1440"/>
          </w:tcPr>
          <w:p>
            <w:pPr>
              <w:jc w:val="right"/>
            </w:pPr>
            <w:r/>
            <w:r>
              <w:rPr>
                <w:sz w:val="19"/>
              </w:rPr>
              <w:t>17</w:t>
            </w:r>
          </w:p>
        </w:tc>
        <w:tc>
          <w:tcPr>
            <w:tcW w:type="dxa" w:w="1440"/>
          </w:tcPr>
          <w:p>
            <w:pPr>
              <w:jc w:val="right"/>
            </w:pPr>
            <w:r/>
            <w:r>
              <w:rPr>
                <w:sz w:val="19"/>
              </w:rPr>
              <w:t>15</w:t>
            </w:r>
          </w:p>
        </w:tc>
        <w:tc>
          <w:tcPr>
            <w:tcW w:type="dxa" w:w="1440"/>
          </w:tcPr>
          <w:p>
            <w:pPr>
              <w:jc w:val="right"/>
            </w:pPr>
            <w:r/>
            <w:r>
              <w:rPr>
                <w:sz w:val="19"/>
              </w:rPr>
              <w:t>17</w:t>
            </w:r>
          </w:p>
        </w:tc>
        <w:tc>
          <w:tcPr>
            <w:tcW w:type="dxa" w:w="1440"/>
          </w:tcPr>
          <w:p>
            <w:pPr>
              <w:jc w:val="right"/>
            </w:pPr>
            <w:r/>
            <w:r>
              <w:rPr>
                <w:sz w:val="19"/>
              </w:rPr>
              <w:t>4,3 j</w:t>
            </w:r>
          </w:p>
        </w:tc>
      </w:tr>
    </w:tbl>
    <w:p/>
    <w:p>
      <w:r>
        <w:t>Les effectifs sont petits : le secteur de tête porte 39 avis revenus, le dernier 17. Quelques avis suffisent à déplacer un rang, et ce classement se lit avec cette réserve.</w:t>
      </w:r>
    </w:p>
    <w:p>
      <w:pPr>
        <w:pStyle w:val="Heading1"/>
      </w:pPr>
      <w:r>
        <w:t>3. La région et la note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Région</w:t>
            </w:r>
          </w:p>
        </w:tc>
        <w:tc>
          <w:tcPr>
            <w:tcW w:type="dxa" w:w="1728"/>
          </w:tcPr>
          <w:p>
            <w:r/>
            <w:r>
              <w:rPr>
                <w:b/>
                <w:sz w:val="19"/>
              </w:rPr>
              <w:t>Avis du parc</w:t>
            </w:r>
          </w:p>
        </w:tc>
        <w:tc>
          <w:tcPr>
            <w:tcW w:type="dxa" w:w="1728"/>
          </w:tcPr>
          <w:p>
            <w:r/>
            <w:r>
              <w:rPr>
                <w:b/>
                <w:sz w:val="19"/>
              </w:rPr>
              <w:t>Avis revenus</w:t>
            </w:r>
          </w:p>
        </w:tc>
        <w:tc>
          <w:tcPr>
            <w:tcW w:type="dxa" w:w="1728"/>
          </w:tcPr>
          <w:p>
            <w:r/>
            <w:r>
              <w:rPr>
                <w:b/>
                <w:sz w:val="19"/>
              </w:rPr>
              <w:t>Fiches</w:t>
            </w:r>
          </w:p>
        </w:tc>
        <w:tc>
          <w:tcPr>
            <w:tcW w:type="dxa" w:w="1728"/>
          </w:tcPr>
          <w:p>
            <w:r/>
            <w:r>
              <w:rPr>
                <w:b/>
                <w:sz w:val="19"/>
              </w:rPr>
              <w:t>Pour un million</w:t>
            </w:r>
          </w:p>
        </w:tc>
      </w:tr>
      <w:tr>
        <w:tc>
          <w:tcPr>
            <w:tcW w:type="dxa" w:w="1728"/>
          </w:tcPr>
          <w:p>
            <w:r/>
            <w:r>
              <w:rPr>
                <w:sz w:val="19"/>
              </w:rPr>
              <w:t>États-Unis</w:t>
            </w:r>
          </w:p>
        </w:tc>
        <w:tc>
          <w:tcPr>
            <w:tcW w:type="dxa" w:w="1728"/>
          </w:tcPr>
          <w:p>
            <w:pPr>
              <w:jc w:val="right"/>
            </w:pPr>
            <w:r/>
            <w:r>
              <w:rPr>
                <w:sz w:val="19"/>
              </w:rPr>
              <w:t>2 628 116</w:t>
            </w:r>
          </w:p>
        </w:tc>
        <w:tc>
          <w:tcPr>
            <w:tcW w:type="dxa" w:w="1728"/>
          </w:tcPr>
          <w:p>
            <w:pPr>
              <w:jc w:val="right"/>
            </w:pPr>
            <w:r/>
            <w:r>
              <w:rPr>
                <w:sz w:val="19"/>
              </w:rPr>
              <w:t>122</w:t>
            </w:r>
          </w:p>
        </w:tc>
        <w:tc>
          <w:tcPr>
            <w:tcW w:type="dxa" w:w="1728"/>
          </w:tcPr>
          <w:p>
            <w:pPr>
              <w:jc w:val="right"/>
            </w:pPr>
            <w:r/>
            <w:r>
              <w:rPr>
                <w:sz w:val="19"/>
              </w:rPr>
              <w:t>112</w:t>
            </w:r>
          </w:p>
        </w:tc>
        <w:tc>
          <w:tcPr>
            <w:tcW w:type="dxa" w:w="1728"/>
          </w:tcPr>
          <w:p>
            <w:pPr>
              <w:jc w:val="right"/>
            </w:pPr>
            <w:r/>
            <w:r>
              <w:rPr>
                <w:sz w:val="19"/>
              </w:rPr>
              <w:t>46</w:t>
            </w:r>
          </w:p>
        </w:tc>
      </w:tr>
      <w:tr>
        <w:tc>
          <w:tcPr>
            <w:tcW w:type="dxa" w:w="1728"/>
          </w:tcPr>
          <w:p>
            <w:r/>
            <w:r>
              <w:rPr>
                <w:sz w:val="19"/>
              </w:rPr>
              <w:t>Europe</w:t>
            </w:r>
          </w:p>
        </w:tc>
        <w:tc>
          <w:tcPr>
            <w:tcW w:type="dxa" w:w="1728"/>
          </w:tcPr>
          <w:p>
            <w:pPr>
              <w:jc w:val="right"/>
            </w:pPr>
            <w:r/>
            <w:r>
              <w:rPr>
                <w:sz w:val="19"/>
              </w:rPr>
              <w:t>2 250 035</w:t>
            </w:r>
          </w:p>
        </w:tc>
        <w:tc>
          <w:tcPr>
            <w:tcW w:type="dxa" w:w="1728"/>
          </w:tcPr>
          <w:p>
            <w:pPr>
              <w:jc w:val="right"/>
            </w:pPr>
            <w:r/>
            <w:r>
              <w:rPr>
                <w:sz w:val="19"/>
              </w:rPr>
              <w:t>45</w:t>
            </w:r>
          </w:p>
        </w:tc>
        <w:tc>
          <w:tcPr>
            <w:tcW w:type="dxa" w:w="1728"/>
          </w:tcPr>
          <w:p>
            <w:pPr>
              <w:jc w:val="right"/>
            </w:pPr>
            <w:r/>
            <w:r>
              <w:rPr>
                <w:sz w:val="19"/>
              </w:rPr>
              <w:t>38</w:t>
            </w:r>
          </w:p>
        </w:tc>
        <w:tc>
          <w:tcPr>
            <w:tcW w:type="dxa" w:w="1728"/>
          </w:tcPr>
          <w:p>
            <w:pPr>
              <w:jc w:val="right"/>
            </w:pPr>
            <w:r/>
            <w:r>
              <w:rPr>
                <w:sz w:val="19"/>
              </w:rPr>
              <w:t>20</w:t>
            </w:r>
          </w:p>
        </w:tc>
      </w:tr>
    </w:tbl>
    <w:p/>
    <w:p>
      <w:r>
        <w:t>Le sens est le même que pour les suppressions elles-mêmes : les États-Unis concentrent le phénomène.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Note de l'avis</w:t>
            </w:r>
          </w:p>
        </w:tc>
        <w:tc>
          <w:tcPr>
            <w:tcW w:type="dxa" w:w="2160"/>
          </w:tcPr>
          <w:p>
            <w:r/>
            <w:r>
              <w:rPr>
                <w:b/>
                <w:sz w:val="19"/>
              </w:rPr>
              <w:t>Avis du parc</w:t>
            </w:r>
          </w:p>
        </w:tc>
        <w:tc>
          <w:tcPr>
            <w:tcW w:type="dxa" w:w="2160"/>
          </w:tcPr>
          <w:p>
            <w:r/>
            <w:r>
              <w:rPr>
                <w:b/>
                <w:sz w:val="19"/>
              </w:rPr>
              <w:t>Avis revenus</w:t>
            </w:r>
          </w:p>
        </w:tc>
        <w:tc>
          <w:tcPr>
            <w:tcW w:type="dxa" w:w="2160"/>
          </w:tcPr>
          <w:p>
            <w:r/>
            <w:r>
              <w:rPr>
                <w:b/>
                <w:sz w:val="19"/>
              </w:rPr>
              <w:t>Pour un million</w:t>
            </w:r>
          </w:p>
        </w:tc>
      </w:tr>
      <w:tr>
        <w:tc>
          <w:tcPr>
            <w:tcW w:type="dxa" w:w="2160"/>
          </w:tcPr>
          <w:p>
            <w:r/>
            <w:r>
              <w:rPr>
                <w:sz w:val="19"/>
              </w:rPr>
              <w:t>1 étoile</w:t>
            </w:r>
          </w:p>
        </w:tc>
        <w:tc>
          <w:tcPr>
            <w:tcW w:type="dxa" w:w="2160"/>
          </w:tcPr>
          <w:p>
            <w:pPr>
              <w:jc w:val="right"/>
            </w:pPr>
            <w:r/>
            <w:r>
              <w:rPr>
                <w:sz w:val="19"/>
              </w:rPr>
              <w:t>313 589</w:t>
            </w:r>
          </w:p>
        </w:tc>
        <w:tc>
          <w:tcPr>
            <w:tcW w:type="dxa" w:w="2160"/>
          </w:tcPr>
          <w:p>
            <w:pPr>
              <w:jc w:val="right"/>
            </w:pPr>
            <w:r/>
            <w:r>
              <w:rPr>
                <w:sz w:val="19"/>
              </w:rPr>
              <w:t>16</w:t>
            </w:r>
          </w:p>
        </w:tc>
        <w:tc>
          <w:tcPr>
            <w:tcW w:type="dxa" w:w="2160"/>
          </w:tcPr>
          <w:p>
            <w:pPr>
              <w:jc w:val="right"/>
            </w:pPr>
            <w:r/>
            <w:r>
              <w:rPr>
                <w:sz w:val="19"/>
              </w:rPr>
              <w:t>51</w:t>
            </w:r>
          </w:p>
        </w:tc>
      </w:tr>
      <w:tr>
        <w:tc>
          <w:tcPr>
            <w:tcW w:type="dxa" w:w="2160"/>
          </w:tcPr>
          <w:p>
            <w:r/>
            <w:r>
              <w:rPr>
                <w:sz w:val="19"/>
              </w:rPr>
              <w:t>2 étoiles</w:t>
            </w:r>
          </w:p>
        </w:tc>
        <w:tc>
          <w:tcPr>
            <w:tcW w:type="dxa" w:w="2160"/>
          </w:tcPr>
          <w:p>
            <w:pPr>
              <w:jc w:val="right"/>
            </w:pPr>
            <w:r/>
            <w:r>
              <w:rPr>
                <w:sz w:val="19"/>
              </w:rPr>
              <w:t>118 596</w:t>
            </w:r>
          </w:p>
        </w:tc>
        <w:tc>
          <w:tcPr>
            <w:tcW w:type="dxa" w:w="2160"/>
          </w:tcPr>
          <w:p>
            <w:pPr>
              <w:jc w:val="right"/>
            </w:pPr>
            <w:r/>
            <w:r>
              <w:rPr>
                <w:sz w:val="19"/>
              </w:rPr>
              <w:t>0</w:t>
            </w:r>
          </w:p>
        </w:tc>
        <w:tc>
          <w:tcPr>
            <w:tcW w:type="dxa" w:w="2160"/>
          </w:tcPr>
          <w:p>
            <w:pPr>
              <w:jc w:val="right"/>
            </w:pPr>
            <w:r/>
            <w:r>
              <w:rPr>
                <w:sz w:val="19"/>
              </w:rPr>
              <w:t>0</w:t>
            </w:r>
          </w:p>
        </w:tc>
      </w:tr>
      <w:tr>
        <w:tc>
          <w:tcPr>
            <w:tcW w:type="dxa" w:w="2160"/>
          </w:tcPr>
          <w:p>
            <w:r/>
            <w:r>
              <w:rPr>
                <w:sz w:val="19"/>
              </w:rPr>
              <w:t>3 étoiles</w:t>
            </w:r>
          </w:p>
        </w:tc>
        <w:tc>
          <w:tcPr>
            <w:tcW w:type="dxa" w:w="2160"/>
          </w:tcPr>
          <w:p>
            <w:pPr>
              <w:jc w:val="right"/>
            </w:pPr>
            <w:r/>
            <w:r>
              <w:rPr>
                <w:sz w:val="19"/>
              </w:rPr>
              <w:t>249 156</w:t>
            </w:r>
          </w:p>
        </w:tc>
        <w:tc>
          <w:tcPr>
            <w:tcW w:type="dxa" w:w="2160"/>
          </w:tcPr>
          <w:p>
            <w:pPr>
              <w:jc w:val="right"/>
            </w:pPr>
            <w:r/>
            <w:r>
              <w:rPr>
                <w:sz w:val="19"/>
              </w:rPr>
              <w:t>7</w:t>
            </w:r>
          </w:p>
        </w:tc>
        <w:tc>
          <w:tcPr>
            <w:tcW w:type="dxa" w:w="2160"/>
          </w:tcPr>
          <w:p>
            <w:pPr>
              <w:jc w:val="right"/>
            </w:pPr>
            <w:r/>
            <w:r>
              <w:rPr>
                <w:sz w:val="19"/>
              </w:rPr>
              <w:t>28</w:t>
            </w:r>
          </w:p>
        </w:tc>
      </w:tr>
      <w:tr>
        <w:tc>
          <w:tcPr>
            <w:tcW w:type="dxa" w:w="2160"/>
          </w:tcPr>
          <w:p>
            <w:r/>
            <w:r>
              <w:rPr>
                <w:sz w:val="19"/>
              </w:rPr>
              <w:t>4 étoiles</w:t>
            </w:r>
          </w:p>
        </w:tc>
        <w:tc>
          <w:tcPr>
            <w:tcW w:type="dxa" w:w="2160"/>
          </w:tcPr>
          <w:p>
            <w:pPr>
              <w:jc w:val="right"/>
            </w:pPr>
            <w:r/>
            <w:r>
              <w:rPr>
                <w:sz w:val="19"/>
              </w:rPr>
              <w:t>694 451</w:t>
            </w:r>
          </w:p>
        </w:tc>
        <w:tc>
          <w:tcPr>
            <w:tcW w:type="dxa" w:w="2160"/>
          </w:tcPr>
          <w:p>
            <w:pPr>
              <w:jc w:val="right"/>
            </w:pPr>
            <w:r/>
            <w:r>
              <w:rPr>
                <w:sz w:val="19"/>
              </w:rPr>
              <w:t>12</w:t>
            </w:r>
          </w:p>
        </w:tc>
        <w:tc>
          <w:tcPr>
            <w:tcW w:type="dxa" w:w="2160"/>
          </w:tcPr>
          <w:p>
            <w:pPr>
              <w:jc w:val="right"/>
            </w:pPr>
            <w:r/>
            <w:r>
              <w:rPr>
                <w:sz w:val="19"/>
              </w:rPr>
              <w:t>17</w:t>
            </w:r>
          </w:p>
        </w:tc>
      </w:tr>
      <w:tr>
        <w:tc>
          <w:tcPr>
            <w:tcW w:type="dxa" w:w="2160"/>
          </w:tcPr>
          <w:p>
            <w:r/>
            <w:r>
              <w:rPr>
                <w:sz w:val="19"/>
              </w:rPr>
              <w:t>5 étoiles</w:t>
            </w:r>
          </w:p>
        </w:tc>
        <w:tc>
          <w:tcPr>
            <w:tcW w:type="dxa" w:w="2160"/>
          </w:tcPr>
          <w:p>
            <w:pPr>
              <w:jc w:val="right"/>
            </w:pPr>
            <w:r/>
            <w:r>
              <w:rPr>
                <w:sz w:val="19"/>
              </w:rPr>
              <w:t>3 502 359</w:t>
            </w:r>
          </w:p>
        </w:tc>
        <w:tc>
          <w:tcPr>
            <w:tcW w:type="dxa" w:w="2160"/>
          </w:tcPr>
          <w:p>
            <w:pPr>
              <w:jc w:val="right"/>
            </w:pPr>
            <w:r/>
            <w:r>
              <w:rPr>
                <w:sz w:val="19"/>
              </w:rPr>
              <w:t>132</w:t>
            </w:r>
          </w:p>
        </w:tc>
        <w:tc>
          <w:tcPr>
            <w:tcW w:type="dxa" w:w="2160"/>
          </w:tcPr>
          <w:p>
            <w:pPr>
              <w:jc w:val="right"/>
            </w:pPr>
            <w:r/>
            <w:r>
              <w:rPr>
                <w:sz w:val="19"/>
              </w:rPr>
              <w:t>38</w:t>
            </w:r>
          </w:p>
        </w:tc>
      </w:tr>
    </w:tbl>
    <w:p/>
    <w:p>
      <w:r>
        <w:t>L'avis 1 étoile est celui qui revient le plus souvent rapporté à son nombre, et l'avis 5 étoiles celui qui revient le plus en volume : 132 des 167 avis concernés. Aucun avis 2 étoiles n'est revenu.</w:t>
      </w:r>
    </w:p>
    <w:p>
      <w:pPr>
        <w:pStyle w:val="Heading1"/>
      </w:pPr>
      <w:r>
        <w:t>4. Quand les avis disparaissent, et quand ils reviennent</w:t>
      </w:r>
    </w:p>
    <w:p>
      <w:pPr>
        <w:jc w:val="center"/>
      </w:pPr>
      <w:r>
        <w:drawing>
          <wp:inline xmlns:a="http://schemas.openxmlformats.org/drawingml/2006/main" xmlns:pic="http://schemas.openxmlformats.org/drawingml/2006/picture">
            <wp:extent cx="5760720" cy="3217958"/>
            <wp:docPr id="4" name="Picture 4"/>
            <wp:cNvGraphicFramePr>
              <a:graphicFrameLocks noChangeAspect="1"/>
            </wp:cNvGraphicFramePr>
            <a:graphic>
              <a:graphicData uri="http://schemas.openxmlformats.org/drawingml/2006/picture">
                <pic:pic>
                  <pic:nvPicPr>
                    <pic:cNvPr id="0" name="figure3-calendrier.png"/>
                    <pic:cNvPicPr/>
                  </pic:nvPicPr>
                  <pic:blipFill>
                    <a:blip r:embed="rId12"/>
                    <a:stretch>
                      <a:fillRect/>
                    </a:stretch>
                  </pic:blipFill>
                  <pic:spPr>
                    <a:xfrm>
                      <a:off x="0" y="0"/>
                      <a:ext cx="5760720" cy="3217958"/>
                    </a:xfrm>
                    <a:prstGeom prst="rect"/>
                  </pic:spPr>
                </pic:pic>
              </a:graphicData>
            </a:graphic>
          </wp:inline>
        </w:drawing>
      </w:r>
    </w:p>
    <w:p>
      <w:pPr>
        <w:jc w:val="center"/>
      </w:pPr>
      <w:r>
        <w:rPr>
          <w:color w:val="52514E"/>
          <w:sz w:val="18"/>
        </w:rPr>
        <w:t>Figure 3 — Épisodes par jour de disparition, selon la durée de l'absence.</w:t>
      </w:r>
    </w:p>
    <w:p>
      <w:r>
        <w:t>Le 12 août porte 240 des 617 épisodes, dont 185 reviennent dès le lendemain. Les trois premières journées du suivi concentrent les ratés de collecte. Les données ne disent pas pourquoi ; la mise en route de la collecte est l'hypothèse la plus simple.</w:t>
      </w:r>
    </w:p>
    <w:p>
      <w:r>
        <w:t>Quand le retrait est réel, l'annulation vient vite : 104 des 169 épisodes de deux jours ou plus se règlent en deux ou trois jours. La plus longue absence suivie d'un retour dure 12 jours.</w:t>
      </w:r>
    </w:p>
    <w:p>
      <w:pPr>
        <w:pStyle w:val="Heading1"/>
      </w:pPr>
      <w:r>
        <w:t>5. Ce que ces chiffres ne disent pas</w:t>
      </w:r>
    </w:p>
    <w:p>
      <w:pPr>
        <w:pStyle w:val="ListBullet"/>
      </w:pPr>
      <w:r>
        <w:t>On ne sait pas pourquoi un avis revient. Contestation par son auteur, correction par Google, erreur de modération rattrapée : rien dans les données ne tranche.</w:t>
      </w:r>
    </w:p>
    <w:p>
      <w:pPr>
        <w:pStyle w:val="ListBullet"/>
      </w:pPr>
      <w:r>
        <w:t>Un avis disparu dans les derniers jours du suivi n'a plus le temps de revenir avant le 24 août. Le compte de 167 avis revenus est donc un plancher.</w:t>
      </w:r>
    </w:p>
    <w:p>
      <w:pPr>
        <w:pStyle w:val="ListBullet"/>
      </w:pPr>
      <w:r>
        <w:t>Un avis disparu avant le 11 août et revenu pendant le suivi ressemble à un avis neuf. Ces retours-là sont invisibles.</w:t>
      </w:r>
    </w:p>
    <w:p>
      <w:pPr>
        <w:pStyle w:val="ListBullet"/>
      </w:pPr>
      <w:r>
        <w:t>Le retour ne se voit que si le robot repasse sur la fiche. Une absence commencée et terminée entre deux passages ne laisse aucune trace.</w:t>
      </w:r>
    </w:p>
    <w:p>
      <w:pPr>
        <w:pStyle w:val="ListBullet"/>
      </w:pPr>
      <w:r>
        <w:t>Les ratés de collecte sont reconnus à leur forme, non à une information venue du robot. Un vrai retrait massif suivi d'un rétablissement le lendemain serait compté comme un raté.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