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 complémentaire</w:t>
      </w:r>
    </w:p>
    <w:p>
      <w:r>
        <w:rPr>
          <w:i/>
          <w:color w:val="52514E"/>
          <w:sz w:val="21"/>
        </w:rPr>
        <w:t>ReviewFlowz — suppressions d'avis Google — 21 septembre 2026 — les avis vus pour la première fois bien après leur publication</w:t>
      </w:r>
    </w:p>
    <w:p>
      <w:r>
        <w:t>Sur les 35 751 avis du panel 03B, 283 ont été vus par le robot huit jours ou plus après leur publication, sur 253 fiches différentes. Les avis modifiés et deux fiches à afflux groupé en sont écartés. C'est cette population que décrit ce document.</w:t>
      </w:r>
    </w:p>
    <w:p>
      <w:pPr>
        <w:pStyle w:val="Heading1"/>
      </w:pPr>
      <w:r>
        <w:t>Deux exemples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5"/>
              </w:rPr>
              <w:t>review_id</w:t>
            </w:r>
          </w:p>
        </w:tc>
        <w:tc>
          <w:tcPr>
            <w:tcW w:type="dxa" w:w="960"/>
          </w:tcPr>
          <w:p>
            <w:r/>
            <w:r>
              <w:rPr>
                <w:b/>
                <w:sz w:val="15"/>
              </w:rPr>
              <w:t>cid</w:t>
            </w:r>
          </w:p>
        </w:tc>
        <w:tc>
          <w:tcPr>
            <w:tcW w:type="dxa" w:w="960"/>
          </w:tcPr>
          <w:p>
            <w:r/>
            <w:r>
              <w:rPr>
                <w:b/>
                <w:sz w:val="15"/>
              </w:rPr>
              <w:t>Enseigne</w:t>
            </w:r>
          </w:p>
        </w:tc>
        <w:tc>
          <w:tcPr>
            <w:tcW w:type="dxa" w:w="960"/>
          </w:tcPr>
          <w:p>
            <w:r/>
            <w:r>
              <w:rPr>
                <w:b/>
                <w:sz w:val="15"/>
              </w:rPr>
              <w:t>Pays</w:t>
            </w:r>
          </w:p>
        </w:tc>
        <w:tc>
          <w:tcPr>
            <w:tcW w:type="dxa" w:w="960"/>
          </w:tcPr>
          <w:p>
            <w:r/>
            <w:r>
              <w:rPr>
                <w:b/>
                <w:sz w:val="15"/>
              </w:rPr>
              <w:t>Note</w:t>
            </w:r>
          </w:p>
        </w:tc>
        <w:tc>
          <w:tcPr>
            <w:tcW w:type="dxa" w:w="960"/>
          </w:tcPr>
          <w:p>
            <w:r/>
            <w:r>
              <w:rPr>
                <w:b/>
                <w:sz w:val="15"/>
              </w:rPr>
              <w:t>Caractères</w:t>
            </w:r>
          </w:p>
        </w:tc>
        <w:tc>
          <w:tcPr>
            <w:tcW w:type="dxa" w:w="960"/>
          </w:tcPr>
          <w:p>
            <w:r/>
            <w:r>
              <w:rPr>
                <w:b/>
                <w:sz w:val="15"/>
              </w:rPr>
              <w:t>Publié</w:t>
            </w:r>
          </w:p>
        </w:tc>
        <w:tc>
          <w:tcPr>
            <w:tcW w:type="dxa" w:w="960"/>
          </w:tcPr>
          <w:p>
            <w:r/>
            <w:r>
              <w:rPr>
                <w:b/>
                <w:sz w:val="15"/>
              </w:rPr>
              <w:t>Vu le</w:t>
            </w:r>
          </w:p>
        </w:tc>
        <w:tc>
          <w:tcPr>
            <w:tcW w:type="dxa" w:w="960"/>
          </w:tcPr>
          <w:p>
            <w:r/>
            <w:r>
              <w:rPr>
                <w:b/>
                <w:sz w:val="15"/>
              </w:rPr>
              <w:t>Écart</w:t>
            </w:r>
          </w:p>
        </w:tc>
      </w:tr>
      <w:tr>
        <w:tc>
          <w:tcPr>
            <w:tcW w:type="dxa" w:w="960"/>
          </w:tcPr>
          <w:p>
            <w:r/>
            <w:r>
              <w:rPr>
                <w:sz w:val="15"/>
              </w:rPr>
              <w:t>Ci9DQUlRQUNvZENodHljRjlvT25KR2JTMHdhR3BOWms1eVRFbE9iVGw0WWtwRmNuYxAB</w:t>
            </w:r>
          </w:p>
        </w:tc>
        <w:tc>
          <w:tcPr>
            <w:tcW w:type="dxa" w:w="960"/>
          </w:tcPr>
          <w:p>
            <w:r/>
            <w:r>
              <w:rPr>
                <w:sz w:val="15"/>
              </w:rPr>
              <w:t>8303557791751296465</w:t>
            </w:r>
          </w:p>
        </w:tc>
        <w:tc>
          <w:tcPr>
            <w:tcW w:type="dxa" w:w="960"/>
          </w:tcPr>
          <w:p>
            <w:r/>
            <w:r>
              <w:rPr>
                <w:sz w:val="15"/>
              </w:rPr>
              <w:t>Insight Pest Solutions</w:t>
            </w:r>
          </w:p>
        </w:tc>
        <w:tc>
          <w:tcPr>
            <w:tcW w:type="dxa" w:w="960"/>
          </w:tcPr>
          <w:p>
            <w:r/>
            <w:r>
              <w:rPr>
                <w:sz w:val="15"/>
              </w:rPr>
              <w:t>US</w:t>
            </w:r>
          </w:p>
        </w:tc>
        <w:tc>
          <w:tcPr>
            <w:tcW w:type="dxa" w:w="960"/>
          </w:tcPr>
          <w:p>
            <w:pPr>
              <w:jc w:val="right"/>
            </w:pPr>
            <w:r/>
            <w:r>
              <w:rPr>
                <w:sz w:val="15"/>
              </w:rPr>
              <w:t>5</w:t>
            </w:r>
          </w:p>
        </w:tc>
        <w:tc>
          <w:tcPr>
            <w:tcW w:type="dxa" w:w="960"/>
          </w:tcPr>
          <w:p>
            <w:pPr>
              <w:jc w:val="right"/>
            </w:pPr>
            <w:r/>
            <w:r>
              <w:rPr>
                <w:sz w:val="15"/>
              </w:rPr>
              <w:t>72</w:t>
            </w:r>
          </w:p>
        </w:tc>
        <w:tc>
          <w:tcPr>
            <w:tcW w:type="dxa" w:w="960"/>
          </w:tcPr>
          <w:p>
            <w:r/>
            <w:r>
              <w:rPr>
                <w:sz w:val="15"/>
              </w:rPr>
              <w:t>04/08 22:32</w:t>
            </w:r>
          </w:p>
        </w:tc>
        <w:tc>
          <w:tcPr>
            <w:tcW w:type="dxa" w:w="960"/>
          </w:tcPr>
          <w:p>
            <w:r/>
            <w:r>
              <w:rPr>
                <w:sz w:val="15"/>
              </w:rPr>
              <w:t>18/08 06:11</w:t>
            </w:r>
          </w:p>
        </w:tc>
        <w:tc>
          <w:tcPr>
            <w:tcW w:type="dxa" w:w="960"/>
          </w:tcPr>
          <w:p>
            <w:pPr>
              <w:jc w:val="right"/>
            </w:pPr>
            <w:r/>
            <w:r>
              <w:rPr>
                <w:sz w:val="15"/>
              </w:rPr>
              <w:t>14 j</w:t>
            </w:r>
          </w:p>
        </w:tc>
      </w:tr>
      <w:tr>
        <w:tc>
          <w:tcPr>
            <w:tcW w:type="dxa" w:w="960"/>
          </w:tcPr>
          <w:p>
            <w:r/>
            <w:r>
              <w:rPr>
                <w:sz w:val="15"/>
              </w:rPr>
              <w:t>Ci9DQUlRQUNvZENodHljRjlvT205TVpVcEVZMGx5YlZOWFZXcFpORlpKZW1wZlpHYxAB</w:t>
            </w:r>
          </w:p>
        </w:tc>
        <w:tc>
          <w:tcPr>
            <w:tcW w:type="dxa" w:w="960"/>
          </w:tcPr>
          <w:p>
            <w:r/>
            <w:r>
              <w:rPr>
                <w:sz w:val="15"/>
              </w:rPr>
              <w:t>10801697147326302356</w:t>
            </w:r>
          </w:p>
        </w:tc>
        <w:tc>
          <w:tcPr>
            <w:tcW w:type="dxa" w:w="960"/>
          </w:tcPr>
          <w:p>
            <w:r/>
            <w:r>
              <w:rPr>
                <w:sz w:val="15"/>
              </w:rPr>
              <w:t>Empire Today</w:t>
            </w:r>
          </w:p>
        </w:tc>
        <w:tc>
          <w:tcPr>
            <w:tcW w:type="dxa" w:w="960"/>
          </w:tcPr>
          <w:p>
            <w:r/>
            <w:r>
              <w:rPr>
                <w:sz w:val="15"/>
              </w:rPr>
              <w:t>US</w:t>
            </w:r>
          </w:p>
        </w:tc>
        <w:tc>
          <w:tcPr>
            <w:tcW w:type="dxa" w:w="960"/>
          </w:tcPr>
          <w:p>
            <w:pPr>
              <w:jc w:val="right"/>
            </w:pPr>
            <w:r/>
            <w:r>
              <w:rPr>
                <w:sz w:val="15"/>
              </w:rPr>
              <w:t>1</w:t>
            </w:r>
          </w:p>
        </w:tc>
        <w:tc>
          <w:tcPr>
            <w:tcW w:type="dxa" w:w="960"/>
          </w:tcPr>
          <w:p>
            <w:pPr>
              <w:jc w:val="right"/>
            </w:pPr>
            <w:r/>
            <w:r>
              <w:rPr>
                <w:sz w:val="15"/>
              </w:rPr>
              <w:t>2 181</w:t>
            </w:r>
          </w:p>
        </w:tc>
        <w:tc>
          <w:tcPr>
            <w:tcW w:type="dxa" w:w="960"/>
          </w:tcPr>
          <w:p>
            <w:r/>
            <w:r>
              <w:rPr>
                <w:sz w:val="15"/>
              </w:rPr>
              <w:t>10/08 17:30</w:t>
            </w:r>
          </w:p>
        </w:tc>
        <w:tc>
          <w:tcPr>
            <w:tcW w:type="dxa" w:w="960"/>
          </w:tcPr>
          <w:p>
            <w:r/>
            <w:r>
              <w:rPr>
                <w:sz w:val="15"/>
              </w:rPr>
              <w:t>23/08 06:12</w:t>
            </w:r>
          </w:p>
        </w:tc>
        <w:tc>
          <w:tcPr>
            <w:tcW w:type="dxa" w:w="960"/>
          </w:tcPr>
          <w:p>
            <w:pPr>
              <w:jc w:val="right"/>
            </w:pPr>
            <w:r/>
            <w:r>
              <w:rPr>
                <w:sz w:val="15"/>
              </w:rPr>
              <w:t>13 j</w:t>
            </w:r>
          </w:p>
        </w:tc>
      </w:tr>
    </w:tbl>
    <w:p/>
    <w:p>
      <w:r>
        <w:t>Ce n'est pas seulement la première semaine du panel qui est concernée. Les avis du filet sont publiés du 04/08 au 16/08, et l'écart avec la première observation va de 8 à 14 jours. Un avis publié le 12 ou le 15 août peut apparaître neuf jours plus tard.</w:t>
      </w:r>
    </w:p>
    <w:p>
      <w:pPr>
        <w:pStyle w:val="Heading1"/>
      </w:pPr>
      <w:r>
        <w:t>Le portrait de ces avis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Filet tardif</w:t>
            </w:r>
          </w:p>
        </w:tc>
        <w:tc>
          <w:tcPr>
            <w:tcW w:type="dxa" w:w="2880"/>
          </w:tcPr>
          <w:p>
            <w:r/>
            <w:r>
              <w:rPr>
                <w:b/>
                <w:sz w:val="19"/>
              </w:rPr>
              <w:t>Vus dans les 7 jours</w:t>
            </w:r>
          </w:p>
        </w:tc>
      </w:tr>
      <w:tr>
        <w:tc>
          <w:tcPr>
            <w:tcW w:type="dxa" w:w="2880"/>
          </w:tcPr>
          <w:p>
            <w:r/>
            <w:r>
              <w:rPr>
                <w:sz w:val="19"/>
              </w:rPr>
              <w:t>Avis</w:t>
            </w:r>
          </w:p>
        </w:tc>
        <w:tc>
          <w:tcPr>
            <w:tcW w:type="dxa" w:w="2880"/>
          </w:tcPr>
          <w:p>
            <w:pPr>
              <w:jc w:val="right"/>
            </w:pPr>
            <w:r/>
            <w:r>
              <w:rPr>
                <w:sz w:val="19"/>
              </w:rPr>
              <w:t>283</w:t>
            </w:r>
          </w:p>
        </w:tc>
        <w:tc>
          <w:tcPr>
            <w:tcW w:type="dxa" w:w="2880"/>
          </w:tcPr>
          <w:p>
            <w:pPr>
              <w:jc w:val="right"/>
            </w:pPr>
            <w:r/>
            <w:r>
              <w:rPr>
                <w:sz w:val="19"/>
              </w:rPr>
              <w:t>35 188</w:t>
            </w:r>
          </w:p>
        </w:tc>
      </w:tr>
      <w:tr>
        <w:tc>
          <w:tcPr>
            <w:tcW w:type="dxa" w:w="2880"/>
          </w:tcPr>
          <w:p>
            <w:r/>
            <w:r>
              <w:rPr>
                <w:sz w:val="19"/>
              </w:rPr>
              <w:t>Longueur moyenne</w:t>
            </w:r>
          </w:p>
        </w:tc>
        <w:tc>
          <w:tcPr>
            <w:tcW w:type="dxa" w:w="2880"/>
          </w:tcPr>
          <w:p>
            <w:pPr>
              <w:jc w:val="right"/>
            </w:pPr>
            <w:r/>
            <w:r>
              <w:rPr>
                <w:sz w:val="19"/>
              </w:rPr>
              <w:t>572 car.</w:t>
            </w:r>
          </w:p>
        </w:tc>
        <w:tc>
          <w:tcPr>
            <w:tcW w:type="dxa" w:w="2880"/>
          </w:tcPr>
          <w:p>
            <w:pPr>
              <w:jc w:val="right"/>
            </w:pPr>
            <w:r/>
            <w:r>
              <w:rPr>
                <w:sz w:val="19"/>
              </w:rPr>
              <w:t>185 car.</w:t>
            </w:r>
          </w:p>
        </w:tc>
      </w:tr>
      <w:tr>
        <w:tc>
          <w:tcPr>
            <w:tcW w:type="dxa" w:w="2880"/>
          </w:tcPr>
          <w:p>
            <w:r/>
            <w:r>
              <w:rPr>
                <w:sz w:val="19"/>
              </w:rPr>
              <w:t>Longueur médiane</w:t>
            </w:r>
          </w:p>
        </w:tc>
        <w:tc>
          <w:tcPr>
            <w:tcW w:type="dxa" w:w="2880"/>
          </w:tcPr>
          <w:p>
            <w:pPr>
              <w:jc w:val="right"/>
            </w:pPr>
            <w:r/>
            <w:r>
              <w:rPr>
                <w:sz w:val="19"/>
              </w:rPr>
              <w:t>329 car.</w:t>
            </w:r>
          </w:p>
        </w:tc>
        <w:tc>
          <w:tcPr>
            <w:tcW w:type="dxa" w:w="2880"/>
          </w:tcPr>
          <w:p>
            <w:pPr>
              <w:jc w:val="right"/>
            </w:pPr>
            <w:r/>
            <w:r>
              <w:rPr>
                <w:sz w:val="19"/>
              </w:rPr>
              <w:t>76 car.</w:t>
            </w:r>
          </w:p>
        </w:tc>
      </w:tr>
      <w:tr>
        <w:tc>
          <w:tcPr>
            <w:tcW w:type="dxa" w:w="2880"/>
          </w:tcPr>
          <w:p>
            <w:r/>
            <w:r>
              <w:rPr>
                <w:sz w:val="19"/>
              </w:rPr>
              <w:t>Sans texte</w:t>
            </w:r>
          </w:p>
        </w:tc>
        <w:tc>
          <w:tcPr>
            <w:tcW w:type="dxa" w:w="2880"/>
          </w:tcPr>
          <w:p>
            <w:pPr>
              <w:jc w:val="right"/>
            </w:pPr>
            <w:r/>
            <w:r>
              <w:rPr>
                <w:sz w:val="19"/>
              </w:rPr>
              <w:t>9,9 %</w:t>
            </w:r>
          </w:p>
        </w:tc>
        <w:tc>
          <w:tcPr>
            <w:tcW w:type="dxa" w:w="2880"/>
          </w:tcPr>
          <w:p>
            <w:pPr>
              <w:jc w:val="right"/>
            </w:pPr>
            <w:r/>
            <w:r>
              <w:rPr>
                <w:sz w:val="19"/>
              </w:rPr>
              <w:t>27,1 %</w:t>
            </w:r>
          </w:p>
        </w:tc>
      </w:tr>
      <w:tr>
        <w:tc>
          <w:tcPr>
            <w:tcW w:type="dxa" w:w="2880"/>
          </w:tcPr>
          <w:p>
            <w:r/>
            <w:r>
              <w:rPr>
                <w:sz w:val="19"/>
              </w:rPr>
              <w:t>Plus de 200 caractères</w:t>
            </w:r>
          </w:p>
        </w:tc>
        <w:tc>
          <w:tcPr>
            <w:tcW w:type="dxa" w:w="2880"/>
          </w:tcPr>
          <w:p>
            <w:pPr>
              <w:jc w:val="right"/>
            </w:pPr>
            <w:r/>
            <w:r>
              <w:rPr>
                <w:sz w:val="19"/>
              </w:rPr>
              <w:t>66,1 %</w:t>
            </w:r>
          </w:p>
        </w:tc>
        <w:tc>
          <w:tcPr>
            <w:tcW w:type="dxa" w:w="2880"/>
          </w:tcPr>
          <w:p>
            <w:pPr>
              <w:jc w:val="right"/>
            </w:pPr>
            <w:r/>
            <w:r>
              <w:rPr>
                <w:sz w:val="19"/>
              </w:rPr>
              <w:t>26,3 %</w:t>
            </w:r>
          </w:p>
        </w:tc>
      </w:tr>
    </w:tbl>
    <w:p/>
    <w:p>
      <w:r>
        <w:t>Ce sont des avis longs, détaillés et majoritairement négatifs. Une étoile avec 2 181 caractères chez Empire Today, 1 848 chez un cabinet vétérinaire, 740 chez une clinique. Rien de commun avec l'avis 5 étoiles de trente caractères qui domine le panel.</w:t>
      </w:r>
    </w:p>
    <w:p>
      <w:r>
        <w:t>Ils sont répartis sur 25 pays : 137 aux États-Unis, 43 en France, 22 en Allemagne, 22 en Espagne. Ce n'est donc ni un pays, ni une fiche, ni un secteur.</w:t>
      </w:r>
    </w:p>
    <w:p>
      <w:pPr>
        <w:pStyle w:val="Heading1"/>
      </w:pPr>
      <w:r>
        <w:t>Ce que ça évoque</w:t>
      </w:r>
    </w:p>
    <w:p>
      <w:r>
        <w:t>Un avis long, argumenté et négatif est exactement ce qu'un système de modération met en attente, soit pour vérification automatique, soit parce que le commerçant l'a signalé et que Google a statué ensuite. Les avis 5 étoiles présents dans le filet montrent que le phénomène ne vise pas que le négatif.</w:t>
      </w:r>
    </w:p>
    <w:p>
      <w:r>
        <w:t>Rien ne permet de trancher entre cette explication et une explication par l'ordre dans lequel le robot lit le listing. Les deux dépendent de la note, donc le motif ne les départage pas.</w:t>
      </w:r>
    </w:p>
    <w:p>
      <w:r>
        <w:t>Ce qui est mesuré, et qui tient : aucun de ces 283 avis ne porte 4 étoiles, et 66,1 % dépassent 200 caractères contre 26,3 % dans le reste du panel.</w:t>
      </w:r>
    </w:p>
    <w:p>
      <w:r>
        <w:rPr>
          <w:i/>
          <w:color w:val="52514E"/>
          <w:sz w:val="21"/>
        </w:rPr>
        <w:t>Le texte et le lien de chaque avis sont dans les colonnes text et review_link de la table, pour qui veut en ouvrir quelques-uns sur Maps. Ils ne sont pas recopiés ici : règle du projet sur les données personnelles. Régénérer avec etudes-ponctuelles/2026-09-21-avis-vus-tardivement/tardifs.py, puis note.py.</w:t>
      </w:r>
    </w:p>
    <w:p>
      <w:pPr>
        <w:pStyle w:val="Heading1"/>
      </w:pPr>
      <w:r>
        <w:t>L'effet des photos : la photo de l'avis et le profil de l'auteur</w:t>
      </w:r>
    </w:p>
    <w:p>
      <w:r>
        <w:t>Deux dimensions distinctes de la photo coexistent dans les données : la photo jointe à l'avis spécifique, et le nombre total de photos publiées par l'auteur sur son compte Google Maps. Leurs effets mesurés sont radicalement différents.</w:t>
      </w:r>
    </w:p>
    <w:p>
      <w:r>
        <w:t>1. La photo jointe à l'avis ne protège pas du retrait. Dans les modèles de régression multivariés (scripts 07 et 08B), la présence d'une photo n'apporte aucun effet propre une fois le profil et la note contrôlés (p-value supérieure à 0,45). Sur le panel 03B hors enseignes, les avis 1 étoile avec photo affichent 7,6 % de suppression contre 6,5 % sans photo, et les avis 5 étoiles 2,0 % contre 2,8 %.</w:t>
      </w:r>
    </w:p>
    <w:p>
      <w:r>
        <w:t>2. Le nombre de photos publiées par l'auteur montre en revanche une baisse continue du taux de suppression au fur et à mesure que le compte s'enrichit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Photos publiées par l'auteur sur son profil</w:t>
            </w:r>
          </w:p>
        </w:tc>
        <w:tc>
          <w:tcPr>
            <w:tcW w:type="dxa" w:w="2160"/>
          </w:tcPr>
          <w:p>
            <w:r/>
            <w:r>
              <w:rPr>
                <w:b/>
                <w:sz w:val="19"/>
              </w:rPr>
              <w:t>Avis du panel 03B</w:t>
            </w:r>
          </w:p>
        </w:tc>
        <w:tc>
          <w:tcPr>
            <w:tcW w:type="dxa" w:w="2160"/>
          </w:tcPr>
          <w:p>
            <w:r/>
            <w:r>
              <w:rPr>
                <w:b/>
                <w:sz w:val="19"/>
              </w:rPr>
              <w:t>Supprimés</w:t>
            </w:r>
          </w:p>
        </w:tc>
        <w:tc>
          <w:tcPr>
            <w:tcW w:type="dxa" w:w="2160"/>
          </w:tcPr>
          <w:p>
            <w:r/>
            <w:r>
              <w:rPr>
                <w:b/>
                <w:sz w:val="19"/>
              </w:rPr>
              <w:t>Taux de suppression</w:t>
            </w:r>
          </w:p>
        </w:tc>
      </w:tr>
      <w:tr>
        <w:tc>
          <w:tcPr>
            <w:tcW w:type="dxa" w:w="2160"/>
          </w:tcPr>
          <w:p>
            <w:r/>
            <w:r>
              <w:rPr>
                <w:sz w:val="19"/>
              </w:rPr>
              <w:t>0 photo</w:t>
            </w:r>
          </w:p>
        </w:tc>
        <w:tc>
          <w:tcPr>
            <w:tcW w:type="dxa" w:w="2160"/>
          </w:tcPr>
          <w:p>
            <w:pPr>
              <w:jc w:val="right"/>
            </w:pPr>
            <w:r/>
            <w:r>
              <w:rPr>
                <w:sz w:val="19"/>
              </w:rPr>
              <w:t>13 670</w:t>
            </w:r>
          </w:p>
        </w:tc>
        <w:tc>
          <w:tcPr>
            <w:tcW w:type="dxa" w:w="2160"/>
          </w:tcPr>
          <w:p>
            <w:pPr>
              <w:jc w:val="right"/>
            </w:pPr>
            <w:r/>
            <w:r>
              <w:rPr>
                <w:sz w:val="19"/>
              </w:rPr>
              <w:t>458</w:t>
            </w:r>
          </w:p>
        </w:tc>
        <w:tc>
          <w:tcPr>
            <w:tcW w:type="dxa" w:w="2160"/>
          </w:tcPr>
          <w:p>
            <w:pPr>
              <w:jc w:val="right"/>
            </w:pPr>
            <w:r/>
            <w:r>
              <w:rPr>
                <w:sz w:val="19"/>
              </w:rPr>
              <w:t>3,35 %</w:t>
            </w:r>
          </w:p>
        </w:tc>
      </w:tr>
      <w:tr>
        <w:tc>
          <w:tcPr>
            <w:tcW w:type="dxa" w:w="2160"/>
          </w:tcPr>
          <w:p>
            <w:r/>
            <w:r>
              <w:rPr>
                <w:sz w:val="19"/>
              </w:rPr>
              <w:t>1 à 5 photos</w:t>
            </w:r>
          </w:p>
        </w:tc>
        <w:tc>
          <w:tcPr>
            <w:tcW w:type="dxa" w:w="2160"/>
          </w:tcPr>
          <w:p>
            <w:pPr>
              <w:jc w:val="right"/>
            </w:pPr>
            <w:r/>
            <w:r>
              <w:rPr>
                <w:sz w:val="19"/>
              </w:rPr>
              <w:t>5 273</w:t>
            </w:r>
          </w:p>
        </w:tc>
        <w:tc>
          <w:tcPr>
            <w:tcW w:type="dxa" w:w="2160"/>
          </w:tcPr>
          <w:p>
            <w:pPr>
              <w:jc w:val="right"/>
            </w:pPr>
            <w:r/>
            <w:r>
              <w:rPr>
                <w:sz w:val="19"/>
              </w:rPr>
              <w:t>155</w:t>
            </w:r>
          </w:p>
        </w:tc>
        <w:tc>
          <w:tcPr>
            <w:tcW w:type="dxa" w:w="2160"/>
          </w:tcPr>
          <w:p>
            <w:pPr>
              <w:jc w:val="right"/>
            </w:pPr>
            <w:r/>
            <w:r>
              <w:rPr>
                <w:sz w:val="19"/>
              </w:rPr>
              <w:t>2,94 %</w:t>
            </w:r>
          </w:p>
        </w:tc>
      </w:tr>
      <w:tr>
        <w:tc>
          <w:tcPr>
            <w:tcW w:type="dxa" w:w="2160"/>
          </w:tcPr>
          <w:p>
            <w:r/>
            <w:r>
              <w:rPr>
                <w:sz w:val="19"/>
              </w:rPr>
              <w:t>6 à 20 photos</w:t>
            </w:r>
          </w:p>
        </w:tc>
        <w:tc>
          <w:tcPr>
            <w:tcW w:type="dxa" w:w="2160"/>
          </w:tcPr>
          <w:p>
            <w:pPr>
              <w:jc w:val="right"/>
            </w:pPr>
            <w:r/>
            <w:r>
              <w:rPr>
                <w:sz w:val="19"/>
              </w:rPr>
              <w:t>2 267</w:t>
            </w:r>
          </w:p>
        </w:tc>
        <w:tc>
          <w:tcPr>
            <w:tcW w:type="dxa" w:w="2160"/>
          </w:tcPr>
          <w:p>
            <w:pPr>
              <w:jc w:val="right"/>
            </w:pPr>
            <w:r/>
            <w:r>
              <w:rPr>
                <w:sz w:val="19"/>
              </w:rPr>
              <w:t>54</w:t>
            </w:r>
          </w:p>
        </w:tc>
        <w:tc>
          <w:tcPr>
            <w:tcW w:type="dxa" w:w="2160"/>
          </w:tcPr>
          <w:p>
            <w:pPr>
              <w:jc w:val="right"/>
            </w:pPr>
            <w:r/>
            <w:r>
              <w:rPr>
                <w:sz w:val="19"/>
              </w:rPr>
              <w:t>2,38 %</w:t>
            </w:r>
          </w:p>
        </w:tc>
      </w:tr>
      <w:tr>
        <w:tc>
          <w:tcPr>
            <w:tcW w:type="dxa" w:w="2160"/>
          </w:tcPr>
          <w:p>
            <w:r/>
            <w:r>
              <w:rPr>
                <w:sz w:val="19"/>
              </w:rPr>
              <w:t>21 à 100 photos</w:t>
            </w:r>
          </w:p>
        </w:tc>
        <w:tc>
          <w:tcPr>
            <w:tcW w:type="dxa" w:w="2160"/>
          </w:tcPr>
          <w:p>
            <w:pPr>
              <w:jc w:val="right"/>
            </w:pPr>
            <w:r/>
            <w:r>
              <w:rPr>
                <w:sz w:val="19"/>
              </w:rPr>
              <w:t>1 726</w:t>
            </w:r>
          </w:p>
        </w:tc>
        <w:tc>
          <w:tcPr>
            <w:tcW w:type="dxa" w:w="2160"/>
          </w:tcPr>
          <w:p>
            <w:pPr>
              <w:jc w:val="right"/>
            </w:pPr>
            <w:r/>
            <w:r>
              <w:rPr>
                <w:sz w:val="19"/>
              </w:rPr>
              <w:t>19</w:t>
            </w:r>
          </w:p>
        </w:tc>
        <w:tc>
          <w:tcPr>
            <w:tcW w:type="dxa" w:w="2160"/>
          </w:tcPr>
          <w:p>
            <w:pPr>
              <w:jc w:val="right"/>
            </w:pPr>
            <w:r/>
            <w:r>
              <w:rPr>
                <w:sz w:val="19"/>
              </w:rPr>
              <w:t>1,10 %</w:t>
            </w:r>
          </w:p>
        </w:tc>
      </w:tr>
      <w:tr>
        <w:tc>
          <w:tcPr>
            <w:tcW w:type="dxa" w:w="2160"/>
          </w:tcPr>
          <w:p>
            <w:r/>
            <w:r>
              <w:rPr>
                <w:sz w:val="19"/>
              </w:rPr>
              <w:t>Plus de 100 photos</w:t>
            </w:r>
          </w:p>
        </w:tc>
        <w:tc>
          <w:tcPr>
            <w:tcW w:type="dxa" w:w="2160"/>
          </w:tcPr>
          <w:p>
            <w:pPr>
              <w:jc w:val="right"/>
            </w:pPr>
            <w:r/>
            <w:r>
              <w:rPr>
                <w:sz w:val="19"/>
              </w:rPr>
              <w:t>1 346</w:t>
            </w:r>
          </w:p>
        </w:tc>
        <w:tc>
          <w:tcPr>
            <w:tcW w:type="dxa" w:w="2160"/>
          </w:tcPr>
          <w:p>
            <w:pPr>
              <w:jc w:val="right"/>
            </w:pPr>
            <w:r/>
            <w:r>
              <w:rPr>
                <w:sz w:val="19"/>
              </w:rPr>
              <w:t>11</w:t>
            </w:r>
          </w:p>
        </w:tc>
        <w:tc>
          <w:tcPr>
            <w:tcW w:type="dxa" w:w="2160"/>
          </w:tcPr>
          <w:p>
            <w:pPr>
              <w:jc w:val="right"/>
            </w:pPr>
            <w:r/>
            <w:r>
              <w:rPr>
                <w:sz w:val="19"/>
              </w:rPr>
              <w:t>0,82 %</w:t>
            </w:r>
          </w:p>
        </w:tc>
      </w:tr>
    </w:tbl>
    <w:p/>
    <w:p>
      <w:pPr>
        <w:pStyle w:val="Heading1"/>
      </w:pPr>
      <w:r>
        <w:t>Un effet de sélection : le respect des règles plutôt qu'un passe-droit</w:t>
      </w:r>
    </w:p>
    <w:p>
      <w:r>
        <w:t>L'explication d'un prétendu passe-droit accordé par Google aux profils riches en photos cache un effet de sélection important : les auteurs qui ont accumulé des dizaines ou des centaines de photos sur Google Maps sont de réels contributeurs habitués de la plateforme (souvent des Local Guides investis). Ces utilisateurs réguliers connaissent et respectent naturellement mieux les règles de la communauté Google : ils formulent des avis plus nuancés et équilibrés, évitent les propos diffamatoires ou agressifs, et ne créent pas de comptes jetables.</w:t>
      </w:r>
    </w:p>
    <w:p>
      <w:r>
        <w:t>Le faible taux de suppression constaté sur ces comptes s'explique donc avant tout par leur conformité intrinsèque aux règles, sans qu'on puisse affirmer que l'algorithme de modération épargne un avis non conforme au seul motif que son auteur possède des photos.</w:t>
      </w:r>
    </w:p>
    <w:p>
      <w:r>
        <w:t>L'absence d'effet protecteur d'une photo isolée jointe à l'avis le confirme : ajouter une image ne suffit pas à protéger un avis si le texte franchit les limites de la modération ou si le compte présente par ailleurs un profil suspect.</w:t>
      </w:r>
    </w:p>
    <w:p>
      <w:r>
        <w:rPr>
          <w:i/>
          <w:color w:val="52514E"/>
          <w:sz w:val="20"/>
        </w:rPr>
        <w:t>Calculs issus de la table 03B du panel filtré (hors enseignes signalées). Données reviewer_photo_count et has_photo issues de data/bigquery/03B_reviews_panel_filtered_08_04_to_08_26.parquet.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