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1B365D"/>
          <w:sz w:val="34"/>
        </w:rPr>
        <w:t>L'impact de la mention d'un prénom sur la suppression d'avis</w:t>
      </w:r>
    </w:p>
    <w:p>
      <w:pPr>
        <w:spacing w:after="40"/>
      </w:pPr>
      <w:r>
        <w:rPr>
          <w:rFonts w:ascii="Calibri" w:hAnsi="Calibri"/>
          <w:b w:val="0"/>
          <w:i w:val="0"/>
          <w:color w:val="0056B3"/>
          <w:sz w:val="23"/>
        </w:rPr>
        <w:t>Analyse empirique et détection ciblée des intervenants sur le panel 03B</w:t>
      </w:r>
    </w:p>
    <w:p>
      <w:pPr>
        <w:spacing w:after="240"/>
      </w:pPr>
      <w:r>
        <w:rPr>
          <w:rFonts w:ascii="Calibri" w:hAnsi="Calibri"/>
          <w:b w:val="0"/>
          <w:i/>
          <w:color w:val="52514E"/>
          <w:sz w:val="19"/>
        </w:rPr>
        <w:t>ReviewFlowz — 21 septembre 2026 — 16 407 avis en langue anglaise du panel 03B</w:t>
      </w:r>
    </w:p>
    <w:p>
      <w:pPr>
        <w:spacing w:before="280" w:after="80"/>
      </w:pPr>
      <w:r>
        <w:rPr>
          <w:rFonts w:ascii="Calibri" w:hAnsi="Calibri"/>
          <w:b/>
          <w:i w:val="0"/>
          <w:color w:val="1B365D"/>
          <w:sz w:val="26"/>
        </w:rPr>
        <w:t>1. Ce qu'il faut retenir</w:t>
      </w:r>
    </w:p>
    <w:p>
      <w:pPr>
        <w:pStyle w:val="ListBullet"/>
        <w:spacing w:after="60" w:line="276" w:lineRule="auto"/>
      </w:pPr>
      <w:r>
        <w:rPr>
          <w:rFonts w:ascii="Calibri" w:hAnsi="Calibri"/>
          <w:b/>
          <w:i w:val="0"/>
          <w:color w:val="222222"/>
          <w:sz w:val="20"/>
        </w:rPr>
        <w:t>Sur-risque ciblé sur les 5 étoiles :</w:t>
      </w:r>
      <w:r>
        <w:rPr>
          <w:rFonts w:ascii="Calibri" w:hAnsi="Calibri"/>
          <w:b w:val="0"/>
          <w:i w:val="0"/>
          <w:color w:val="333333"/>
          <w:sz w:val="20"/>
        </w:rPr>
        <w:t xml:space="preserve"> Dans les avis 5 étoiles hors enseignes signalées, la mention d'un prénom augmente le taux de suppression de 2,72 % à 3,87 % (rapport de 1,43). Sur 1 000 avis 5 étoiles, citer un employé se traduit par 12 suppressions supplémentaires.</w:t>
      </w:r>
    </w:p>
    <w:p>
      <w:pPr>
        <w:pStyle w:val="ListBullet"/>
        <w:spacing w:after="60" w:line="276" w:lineRule="auto"/>
      </w:pPr>
      <w:r>
        <w:rPr>
          <w:rFonts w:ascii="Calibri" w:hAnsi="Calibri"/>
          <w:b/>
          <w:i w:val="0"/>
          <w:color w:val="222222"/>
          <w:sz w:val="20"/>
        </w:rPr>
        <w:t>Absence d'effet sur les 1 étoile :</w:t>
      </w:r>
      <w:r>
        <w:rPr>
          <w:rFonts w:ascii="Calibri" w:hAnsi="Calibri"/>
          <w:b w:val="0"/>
          <w:i w:val="0"/>
          <w:color w:val="333333"/>
          <w:sz w:val="20"/>
        </w:rPr>
        <w:t xml:space="preserve"> Dans les avis 1 étoile hors enseignes signalées, le taux de suppression est de 8,07 % sans prénom et de 7,66 % avec prénom (rapport de 0,95). Nommer un employé dans une réclamation ne déclenche aucune sanction additionnelle de Google.</w:t>
      </w:r>
    </w:p>
    <w:p>
      <w:pPr>
        <w:pStyle w:val="ListBullet"/>
        <w:spacing w:after="60" w:line="276" w:lineRule="auto"/>
      </w:pPr>
      <w:r>
        <w:rPr>
          <w:rFonts w:ascii="Calibri" w:hAnsi="Calibri"/>
          <w:b/>
          <w:i w:val="0"/>
          <w:color w:val="222222"/>
          <w:sz w:val="20"/>
        </w:rPr>
        <w:t>Poids des réseaux incitatifs :</w:t>
      </w:r>
      <w:r>
        <w:rPr>
          <w:rFonts w:ascii="Calibri" w:hAnsi="Calibri"/>
          <w:b w:val="0"/>
          <w:i w:val="0"/>
          <w:color w:val="333333"/>
          <w:sz w:val="20"/>
        </w:rPr>
        <w:t xml:space="preserve"> Les 4 chaînes antiparasitaires américaines concentrent une part massive d'avis 5 étoiles citant un prénom (4 694 avis sur 13 718). Avec ces enseignes, le taux de suppression des avis 5 étoiles avec prénom atteint 6,11 %.</w:t>
      </w:r>
    </w:p>
    <w:p>
      <w:pPr>
        <w:pStyle w:val="ListBullet"/>
        <w:spacing w:after="60" w:line="276" w:lineRule="auto"/>
      </w:pPr>
      <w:r>
        <w:rPr>
          <w:rFonts w:ascii="Calibri" w:hAnsi="Calibri"/>
          <w:b/>
          <w:i w:val="0"/>
          <w:color w:val="222222"/>
          <w:sz w:val="20"/>
        </w:rPr>
        <w:t>Interprétation métier :</w:t>
      </w:r>
      <w:r>
        <w:rPr>
          <w:rFonts w:ascii="Calibri" w:hAnsi="Calibri"/>
          <w:b w:val="0"/>
          <w:i w:val="0"/>
          <w:color w:val="333333"/>
          <w:sz w:val="20"/>
        </w:rPr>
        <w:t xml:space="preserve"> Citer un prénom n'est pas pénalisé en tant que mot, mais comme signature d'une sollicitation d'avis sur le terrain (techniciens à domicile, poseurs, serveurs) que l'algorithme anti-spam de Google surveille de près.</w:t>
      </w:r>
    </w:p>
    <w:p>
      <w:pPr>
        <w:spacing w:before="280" w:after="80"/>
      </w:pPr>
      <w:r>
        <w:rPr>
          <w:rFonts w:ascii="Calibri" w:hAnsi="Calibri"/>
          <w:b/>
          <w:i w:val="0"/>
          <w:color w:val="1B365D"/>
          <w:sz w:val="26"/>
        </w:rPr>
        <w:t>2. Taux de suppression mesurés selon la note et le périmètre</w:t>
      </w:r>
    </w:p>
    <w:p>
      <w:pPr>
        <w:spacing w:after="100" w:line="276" w:lineRule="auto"/>
      </w:pPr>
      <w:r>
        <w:rPr>
          <w:rFonts w:ascii="Calibri" w:hAnsi="Calibri"/>
          <w:b w:val="0"/>
          <w:i w:val="0"/>
          <w:color w:val="333333"/>
          <w:sz w:val="21"/>
        </w:rPr>
        <w:t>Le tableau ci-dessous compare la part des avis supprimés selon la présence ou l'absence d'un prénom, à note fixée.</w:t>
      </w:r>
    </w:p>
    <w:tbl>
      <w:tblPr>
        <w:tblW w:type="auto" w:w="0"/>
        <w:jc w:val="center"/>
        <w:tblLayout w:type="fixed"/>
        <w:tblLook w:firstColumn="1" w:firstRow="1" w:lastColumn="0" w:lastRow="0" w:noHBand="0" w:noVBand="1" w:val="04A0"/>
      </w:tblPr>
      <w:tblGrid>
        <w:gridCol w:w="1901"/>
        <w:gridCol w:w="1901"/>
        <w:gridCol w:w="1901"/>
        <w:gridCol w:w="1901"/>
        <w:gridCol w:w="1901"/>
      </w:tblGrid>
      <w:tr>
        <w:tc>
          <w:tcPr>
            <w:tcW w:type="dxa" w:w="2592"/>
            <w:shd w:fill="1b365d"/>
          </w:tcPr>
          <w:p>
            <w:pPr>
              <w:jc w:val="left"/>
            </w:pPr>
            <w:r>
              <w:rPr>
                <w:rFonts w:ascii="Calibri" w:hAnsi="Calibri"/>
                <w:b/>
                <w:i w:val="0"/>
                <w:color w:val="FFFFFF"/>
                <w:sz w:val="19"/>
              </w:rPr>
              <w:t>Population étudiée</w:t>
            </w:r>
          </w:p>
        </w:tc>
        <w:tc>
          <w:tcPr>
            <w:tcW w:type="dxa" w:w="1872"/>
            <w:shd w:fill="1b365d"/>
          </w:tcPr>
          <w:p>
            <w:pPr>
              <w:jc w:val="right"/>
            </w:pPr>
            <w:r>
              <w:rPr>
                <w:rFonts w:ascii="Calibri" w:hAnsi="Calibri"/>
                <w:b/>
                <w:i w:val="0"/>
                <w:color w:val="FFFFFF"/>
                <w:sz w:val="19"/>
              </w:rPr>
              <w:t>Avis sans prénom</w:t>
            </w:r>
          </w:p>
        </w:tc>
        <w:tc>
          <w:tcPr>
            <w:tcW w:type="dxa" w:w="1872"/>
            <w:shd w:fill="1b365d"/>
          </w:tcPr>
          <w:p>
            <w:pPr>
              <w:jc w:val="right"/>
            </w:pPr>
            <w:r>
              <w:rPr>
                <w:rFonts w:ascii="Calibri" w:hAnsi="Calibri"/>
                <w:b/>
                <w:i w:val="0"/>
                <w:color w:val="FFFFFF"/>
                <w:sz w:val="19"/>
              </w:rPr>
              <w:t>Avis avec prénom</w:t>
            </w:r>
          </w:p>
        </w:tc>
        <w:tc>
          <w:tcPr>
            <w:tcW w:type="dxa" w:w="1152"/>
            <w:shd w:fill="1b365d"/>
          </w:tcPr>
          <w:p>
            <w:pPr>
              <w:jc w:val="right"/>
            </w:pPr>
            <w:r>
              <w:rPr>
                <w:rFonts w:ascii="Calibri" w:hAnsi="Calibri"/>
                <w:b/>
                <w:i w:val="0"/>
                <w:color w:val="FFFFFF"/>
                <w:sz w:val="19"/>
              </w:rPr>
              <w:t>Rapport</w:t>
            </w:r>
          </w:p>
        </w:tc>
        <w:tc>
          <w:tcPr>
            <w:tcW w:type="dxa" w:w="2016"/>
            <w:shd w:fill="1b365d"/>
          </w:tcPr>
          <w:p>
            <w:pPr>
              <w:jc w:val="left"/>
            </w:pPr>
            <w:r>
              <w:rPr>
                <w:rFonts w:ascii="Calibri" w:hAnsi="Calibri"/>
                <w:b/>
                <w:i w:val="0"/>
                <w:color w:val="FFFFFF"/>
                <w:sz w:val="19"/>
              </w:rPr>
              <w:t>Effet concret</w:t>
            </w:r>
          </w:p>
        </w:tc>
      </w:tr>
      <w:tr>
        <w:tc>
          <w:tcPr>
            <w:tcW w:type="dxa" w:w="2592"/>
            <w:shd w:fill="FFFFFF"/>
          </w:tcPr>
          <w:p>
            <w:pPr>
              <w:jc w:val="left"/>
            </w:pPr>
            <w:r>
              <w:rPr>
                <w:rFonts w:ascii="Calibri" w:hAnsi="Calibri"/>
                <w:b w:val="0"/>
                <w:i w:val="0"/>
                <w:color w:val="222222"/>
                <w:sz w:val="19"/>
              </w:rPr>
              <w:t>5 étoiles (hors enseignes)</w:t>
            </w:r>
          </w:p>
        </w:tc>
        <w:tc>
          <w:tcPr>
            <w:tcW w:type="dxa" w:w="1872"/>
            <w:shd w:fill="FFFFFF"/>
          </w:tcPr>
          <w:p>
            <w:pPr>
              <w:jc w:val="right"/>
            </w:pPr>
            <w:r>
              <w:rPr>
                <w:rFonts w:ascii="Calibri" w:hAnsi="Calibri"/>
                <w:b w:val="0"/>
                <w:i w:val="0"/>
                <w:color w:val="222222"/>
                <w:sz w:val="19"/>
              </w:rPr>
              <w:t>2,72 % (219 / 8 066)</w:t>
            </w:r>
          </w:p>
        </w:tc>
        <w:tc>
          <w:tcPr>
            <w:tcW w:type="dxa" w:w="1872"/>
            <w:shd w:fill="FFFFFF"/>
          </w:tcPr>
          <w:p>
            <w:pPr>
              <w:jc w:val="right"/>
            </w:pPr>
            <w:r>
              <w:rPr>
                <w:rFonts w:ascii="Calibri" w:hAnsi="Calibri"/>
                <w:b w:val="0"/>
                <w:i w:val="0"/>
                <w:color w:val="222222"/>
                <w:sz w:val="19"/>
              </w:rPr>
              <w:t>3,87 % (154 / 3 976)</w:t>
            </w:r>
          </w:p>
        </w:tc>
        <w:tc>
          <w:tcPr>
            <w:tcW w:type="dxa" w:w="1152"/>
            <w:shd w:fill="FFFFFF"/>
          </w:tcPr>
          <w:p>
            <w:pPr>
              <w:jc w:val="right"/>
            </w:pPr>
            <w:r>
              <w:rPr>
                <w:rFonts w:ascii="Calibri" w:hAnsi="Calibri"/>
                <w:b w:val="0"/>
                <w:i w:val="0"/>
                <w:color w:val="222222"/>
                <w:sz w:val="19"/>
              </w:rPr>
              <w:t>×1,43</w:t>
            </w:r>
          </w:p>
        </w:tc>
        <w:tc>
          <w:tcPr>
            <w:tcW w:type="dxa" w:w="2016"/>
            <w:shd w:fill="FFFFFF"/>
          </w:tcPr>
          <w:p>
            <w:pPr>
              <w:jc w:val="left"/>
            </w:pPr>
            <w:r>
              <w:rPr>
                <w:rFonts w:ascii="Calibri" w:hAnsi="Calibri"/>
                <w:b w:val="0"/>
                <w:i w:val="0"/>
                <w:color w:val="222222"/>
                <w:sz w:val="19"/>
              </w:rPr>
              <w:t>+12 suppressions / 1 000</w:t>
            </w:r>
          </w:p>
        </w:tc>
      </w:tr>
      <w:tr>
        <w:tc>
          <w:tcPr>
            <w:tcW w:type="dxa" w:w="2592"/>
            <w:shd w:fill="F8F9FA"/>
          </w:tcPr>
          <w:p>
            <w:pPr>
              <w:jc w:val="left"/>
            </w:pPr>
            <w:r>
              <w:rPr>
                <w:rFonts w:ascii="Calibri" w:hAnsi="Calibri"/>
                <w:b w:val="0"/>
                <w:i w:val="0"/>
                <w:color w:val="222222"/>
                <w:sz w:val="19"/>
              </w:rPr>
              <w:t>1 étoile (hors enseignes)</w:t>
            </w:r>
          </w:p>
        </w:tc>
        <w:tc>
          <w:tcPr>
            <w:tcW w:type="dxa" w:w="1872"/>
            <w:shd w:fill="F8F9FA"/>
          </w:tcPr>
          <w:p>
            <w:pPr>
              <w:jc w:val="right"/>
            </w:pPr>
            <w:r>
              <w:rPr>
                <w:rFonts w:ascii="Calibri" w:hAnsi="Calibri"/>
                <w:b w:val="0"/>
                <w:i w:val="0"/>
                <w:color w:val="222222"/>
                <w:sz w:val="19"/>
              </w:rPr>
              <w:t>8,07 % (73 / 905)</w:t>
            </w:r>
          </w:p>
        </w:tc>
        <w:tc>
          <w:tcPr>
            <w:tcW w:type="dxa" w:w="1872"/>
            <w:shd w:fill="F8F9FA"/>
          </w:tcPr>
          <w:p>
            <w:pPr>
              <w:jc w:val="right"/>
            </w:pPr>
            <w:r>
              <w:rPr>
                <w:rFonts w:ascii="Calibri" w:hAnsi="Calibri"/>
                <w:b w:val="0"/>
                <w:i w:val="0"/>
                <w:color w:val="222222"/>
                <w:sz w:val="19"/>
              </w:rPr>
              <w:t>7,66 % (16 / 209)</w:t>
            </w:r>
          </w:p>
        </w:tc>
        <w:tc>
          <w:tcPr>
            <w:tcW w:type="dxa" w:w="1152"/>
            <w:shd w:fill="F8F9FA"/>
          </w:tcPr>
          <w:p>
            <w:pPr>
              <w:jc w:val="right"/>
            </w:pPr>
            <w:r>
              <w:rPr>
                <w:rFonts w:ascii="Calibri" w:hAnsi="Calibri"/>
                <w:b w:val="0"/>
                <w:i w:val="0"/>
                <w:color w:val="222222"/>
                <w:sz w:val="19"/>
              </w:rPr>
              <w:t>×0,95</w:t>
            </w:r>
          </w:p>
        </w:tc>
        <w:tc>
          <w:tcPr>
            <w:tcW w:type="dxa" w:w="2016"/>
            <w:shd w:fill="F8F9FA"/>
          </w:tcPr>
          <w:p>
            <w:pPr>
              <w:jc w:val="left"/>
            </w:pPr>
            <w:r>
              <w:rPr>
                <w:rFonts w:ascii="Calibri" w:hAnsi="Calibri"/>
                <w:b w:val="0"/>
                <w:i w:val="0"/>
                <w:color w:val="222222"/>
                <w:sz w:val="19"/>
              </w:rPr>
              <w:t>Aucun sur-risque mesurable</w:t>
            </w:r>
          </w:p>
        </w:tc>
      </w:tr>
      <w:tr>
        <w:tc>
          <w:tcPr>
            <w:tcW w:type="dxa" w:w="2592"/>
            <w:shd w:fill="FFFFFF"/>
          </w:tcPr>
          <w:p>
            <w:pPr>
              <w:jc w:val="left"/>
            </w:pPr>
            <w:r>
              <w:rPr>
                <w:rFonts w:ascii="Calibri" w:hAnsi="Calibri"/>
                <w:b w:val="0"/>
                <w:i w:val="0"/>
                <w:color w:val="222222"/>
                <w:sz w:val="19"/>
              </w:rPr>
              <w:t>5 étoiles (avec 4 chaînes)</w:t>
            </w:r>
          </w:p>
        </w:tc>
        <w:tc>
          <w:tcPr>
            <w:tcW w:type="dxa" w:w="1872"/>
            <w:shd w:fill="FFFFFF"/>
          </w:tcPr>
          <w:p>
            <w:pPr>
              <w:jc w:val="right"/>
            </w:pPr>
            <w:r>
              <w:rPr>
                <w:rFonts w:ascii="Calibri" w:hAnsi="Calibri"/>
                <w:b w:val="0"/>
                <w:i w:val="0"/>
                <w:color w:val="222222"/>
                <w:sz w:val="19"/>
              </w:rPr>
              <w:t>4,22 % (381 / 9 024)</w:t>
            </w:r>
          </w:p>
        </w:tc>
        <w:tc>
          <w:tcPr>
            <w:tcW w:type="dxa" w:w="1872"/>
            <w:shd w:fill="FFFFFF"/>
          </w:tcPr>
          <w:p>
            <w:pPr>
              <w:jc w:val="right"/>
            </w:pPr>
            <w:r>
              <w:rPr>
                <w:rFonts w:ascii="Calibri" w:hAnsi="Calibri"/>
                <w:b w:val="0"/>
                <w:i w:val="0"/>
                <w:color w:val="222222"/>
                <w:sz w:val="19"/>
              </w:rPr>
              <w:t>6,11 % (287 / 4 694)</w:t>
            </w:r>
          </w:p>
        </w:tc>
        <w:tc>
          <w:tcPr>
            <w:tcW w:type="dxa" w:w="1152"/>
            <w:shd w:fill="FFFFFF"/>
          </w:tcPr>
          <w:p>
            <w:pPr>
              <w:jc w:val="right"/>
            </w:pPr>
            <w:r>
              <w:rPr>
                <w:rFonts w:ascii="Calibri" w:hAnsi="Calibri"/>
                <w:b w:val="0"/>
                <w:i w:val="0"/>
                <w:color w:val="222222"/>
                <w:sz w:val="19"/>
              </w:rPr>
              <w:t>×1,45</w:t>
            </w:r>
          </w:p>
        </w:tc>
        <w:tc>
          <w:tcPr>
            <w:tcW w:type="dxa" w:w="2016"/>
            <w:shd w:fill="FFFFFF"/>
          </w:tcPr>
          <w:p>
            <w:pPr>
              <w:jc w:val="left"/>
            </w:pPr>
            <w:r>
              <w:rPr>
                <w:rFonts w:ascii="Calibri" w:hAnsi="Calibri"/>
                <w:b w:val="0"/>
                <w:i w:val="0"/>
                <w:color w:val="222222"/>
                <w:sz w:val="19"/>
              </w:rPr>
              <w:t>+19 suppressions / 1 000</w:t>
            </w:r>
          </w:p>
        </w:tc>
      </w:tr>
    </w:tbl>
    <w:p>
      <w:pPr>
        <w:spacing w:after="120"/>
      </w:pPr>
    </w:p>
    <w:p>
      <w:pPr>
        <w:spacing w:before="280" w:after="80"/>
      </w:pPr>
      <w:r>
        <w:rPr>
          <w:rFonts w:ascii="Calibri" w:hAnsi="Calibri"/>
          <w:b/>
          <w:i w:val="0"/>
          <w:color w:val="1B365D"/>
          <w:sz w:val="26"/>
        </w:rPr>
        <w:t>3. Nombre de fois où chaque prénom a été repéré</w:t>
      </w:r>
    </w:p>
    <w:p>
      <w:pPr>
        <w:spacing w:after="100" w:line="276" w:lineRule="auto"/>
      </w:pPr>
      <w:r>
        <w:rPr>
          <w:rFonts w:ascii="Calibri" w:hAnsi="Calibri"/>
          <w:b w:val="0"/>
          <w:i w:val="0"/>
          <w:color w:val="333333"/>
          <w:sz w:val="21"/>
        </w:rPr>
        <w:t>Le tableau suivant présente uniquement le nombre de détections pour les 20 prénoms les plus fréquemment relevés dans le corpus anglais.</w:t>
      </w:r>
    </w:p>
    <w:tbl>
      <w:tblPr>
        <w:tblW w:type="auto" w:w="0"/>
        <w:jc w:val="center"/>
        <w:tblLayout w:type="fixed"/>
        <w:tblLook w:firstColumn="1" w:firstRow="1" w:lastColumn="0" w:lastRow="0" w:noHBand="0" w:noVBand="1" w:val="04A0"/>
      </w:tblPr>
      <w:tblGrid>
        <w:gridCol w:w="4752"/>
        <w:gridCol w:w="4752"/>
      </w:tblGrid>
      <w:tr>
        <w:tc>
          <w:tcPr>
            <w:tcW w:type="dxa" w:w="4608"/>
            <w:shd w:fill="1b365d"/>
          </w:tcPr>
          <w:p>
            <w:pPr>
              <w:jc w:val="left"/>
            </w:pPr>
            <w:r>
              <w:rPr>
                <w:rFonts w:ascii="Calibri" w:hAnsi="Calibri"/>
                <w:b/>
                <w:i w:val="0"/>
                <w:color w:val="FFFFFF"/>
                <w:sz w:val="19"/>
              </w:rPr>
              <w:t>Prénom repéré</w:t>
            </w:r>
          </w:p>
        </w:tc>
        <w:tc>
          <w:tcPr>
            <w:tcW w:type="dxa" w:w="4896"/>
            <w:shd w:fill="1b365d"/>
          </w:tcPr>
          <w:p>
            <w:pPr>
              <w:jc w:val="right"/>
            </w:pPr>
            <w:r>
              <w:rPr>
                <w:rFonts w:ascii="Calibri" w:hAnsi="Calibri"/>
                <w:b/>
                <w:i w:val="0"/>
                <w:color w:val="FFFFFF"/>
                <w:sz w:val="19"/>
              </w:rPr>
              <w:t>Nombre de citations dans les avis</w:t>
            </w:r>
          </w:p>
        </w:tc>
      </w:tr>
      <w:tr>
        <w:tc>
          <w:tcPr>
            <w:tcW w:type="dxa" w:w="4608"/>
            <w:shd w:fill="FFFFFF"/>
          </w:tcPr>
          <w:p>
            <w:r>
              <w:rPr>
                <w:rFonts w:ascii="Calibri" w:hAnsi="Calibri"/>
                <w:b/>
                <w:i w:val="0"/>
                <w:color w:val="222222"/>
                <w:sz w:val="19"/>
              </w:rPr>
              <w:t>John</w:t>
            </w:r>
          </w:p>
        </w:tc>
        <w:tc>
          <w:tcPr>
            <w:tcW w:type="dxa" w:w="4896"/>
            <w:shd w:fill="FFFFFF"/>
          </w:tcPr>
          <w:p>
            <w:pPr>
              <w:jc w:val="right"/>
            </w:pPr>
            <w:r>
              <w:rPr>
                <w:rFonts w:ascii="Calibri" w:hAnsi="Calibri"/>
                <w:b w:val="0"/>
                <w:i w:val="0"/>
                <w:color w:val="222222"/>
                <w:sz w:val="19"/>
              </w:rPr>
              <w:t>65</w:t>
            </w:r>
          </w:p>
        </w:tc>
      </w:tr>
      <w:tr>
        <w:tc>
          <w:tcPr>
            <w:tcW w:type="dxa" w:w="4608"/>
            <w:shd w:fill="F8F9FA"/>
          </w:tcPr>
          <w:p>
            <w:r>
              <w:rPr>
                <w:rFonts w:ascii="Calibri" w:hAnsi="Calibri"/>
                <w:b/>
                <w:i w:val="0"/>
                <w:color w:val="222222"/>
                <w:sz w:val="19"/>
              </w:rPr>
              <w:t>Alex</w:t>
            </w:r>
          </w:p>
        </w:tc>
        <w:tc>
          <w:tcPr>
            <w:tcW w:type="dxa" w:w="4896"/>
            <w:shd w:fill="F8F9FA"/>
          </w:tcPr>
          <w:p>
            <w:pPr>
              <w:jc w:val="right"/>
            </w:pPr>
            <w:r>
              <w:rPr>
                <w:rFonts w:ascii="Calibri" w:hAnsi="Calibri"/>
                <w:b w:val="0"/>
                <w:i w:val="0"/>
                <w:color w:val="222222"/>
                <w:sz w:val="19"/>
              </w:rPr>
              <w:t>59</w:t>
            </w:r>
          </w:p>
        </w:tc>
      </w:tr>
      <w:tr>
        <w:tc>
          <w:tcPr>
            <w:tcW w:type="dxa" w:w="4608"/>
            <w:shd w:fill="FFFFFF"/>
          </w:tcPr>
          <w:p>
            <w:r>
              <w:rPr>
                <w:rFonts w:ascii="Calibri" w:hAnsi="Calibri"/>
                <w:b/>
                <w:i w:val="0"/>
                <w:color w:val="222222"/>
                <w:sz w:val="19"/>
              </w:rPr>
              <w:t>Jeff</w:t>
            </w:r>
          </w:p>
        </w:tc>
        <w:tc>
          <w:tcPr>
            <w:tcW w:type="dxa" w:w="4896"/>
            <w:shd w:fill="FFFFFF"/>
          </w:tcPr>
          <w:p>
            <w:pPr>
              <w:jc w:val="right"/>
            </w:pPr>
            <w:r>
              <w:rPr>
                <w:rFonts w:ascii="Calibri" w:hAnsi="Calibri"/>
                <w:b w:val="0"/>
                <w:i w:val="0"/>
                <w:color w:val="222222"/>
                <w:sz w:val="19"/>
              </w:rPr>
              <w:t>58</w:t>
            </w:r>
          </w:p>
        </w:tc>
      </w:tr>
      <w:tr>
        <w:tc>
          <w:tcPr>
            <w:tcW w:type="dxa" w:w="4608"/>
            <w:shd w:fill="F8F9FA"/>
          </w:tcPr>
          <w:p>
            <w:r>
              <w:rPr>
                <w:rFonts w:ascii="Calibri" w:hAnsi="Calibri"/>
                <w:b/>
                <w:i w:val="0"/>
                <w:color w:val="222222"/>
                <w:sz w:val="19"/>
              </w:rPr>
              <w:t>Chris</w:t>
            </w:r>
          </w:p>
        </w:tc>
        <w:tc>
          <w:tcPr>
            <w:tcW w:type="dxa" w:w="4896"/>
            <w:shd w:fill="F8F9FA"/>
          </w:tcPr>
          <w:p>
            <w:pPr>
              <w:jc w:val="right"/>
            </w:pPr>
            <w:r>
              <w:rPr>
                <w:rFonts w:ascii="Calibri" w:hAnsi="Calibri"/>
                <w:b w:val="0"/>
                <w:i w:val="0"/>
                <w:color w:val="222222"/>
                <w:sz w:val="19"/>
              </w:rPr>
              <w:t>49</w:t>
            </w:r>
          </w:p>
        </w:tc>
      </w:tr>
      <w:tr>
        <w:tc>
          <w:tcPr>
            <w:tcW w:type="dxa" w:w="4608"/>
            <w:shd w:fill="FFFFFF"/>
          </w:tcPr>
          <w:p>
            <w:r>
              <w:rPr>
                <w:rFonts w:ascii="Calibri" w:hAnsi="Calibri"/>
                <w:b/>
                <w:i w:val="0"/>
                <w:color w:val="222222"/>
                <w:sz w:val="19"/>
              </w:rPr>
              <w:t>Jay</w:t>
            </w:r>
          </w:p>
        </w:tc>
        <w:tc>
          <w:tcPr>
            <w:tcW w:type="dxa" w:w="4896"/>
            <w:shd w:fill="FFFFFF"/>
          </w:tcPr>
          <w:p>
            <w:pPr>
              <w:jc w:val="right"/>
            </w:pPr>
            <w:r>
              <w:rPr>
                <w:rFonts w:ascii="Calibri" w:hAnsi="Calibri"/>
                <w:b w:val="0"/>
                <w:i w:val="0"/>
                <w:color w:val="222222"/>
                <w:sz w:val="19"/>
              </w:rPr>
              <w:t>48</w:t>
            </w:r>
          </w:p>
        </w:tc>
      </w:tr>
      <w:tr>
        <w:tc>
          <w:tcPr>
            <w:tcW w:type="dxa" w:w="4608"/>
            <w:shd w:fill="F8F9FA"/>
          </w:tcPr>
          <w:p>
            <w:r>
              <w:rPr>
                <w:rFonts w:ascii="Calibri" w:hAnsi="Calibri"/>
                <w:b/>
                <w:i w:val="0"/>
                <w:color w:val="222222"/>
                <w:sz w:val="19"/>
              </w:rPr>
              <w:t>Michael</w:t>
            </w:r>
          </w:p>
        </w:tc>
        <w:tc>
          <w:tcPr>
            <w:tcW w:type="dxa" w:w="4896"/>
            <w:shd w:fill="F8F9FA"/>
          </w:tcPr>
          <w:p>
            <w:pPr>
              <w:jc w:val="right"/>
            </w:pPr>
            <w:r>
              <w:rPr>
                <w:rFonts w:ascii="Calibri" w:hAnsi="Calibri"/>
                <w:b w:val="0"/>
                <w:i w:val="0"/>
                <w:color w:val="222222"/>
                <w:sz w:val="19"/>
              </w:rPr>
              <w:t>46</w:t>
            </w:r>
          </w:p>
        </w:tc>
      </w:tr>
      <w:tr>
        <w:tc>
          <w:tcPr>
            <w:tcW w:type="dxa" w:w="4608"/>
            <w:shd w:fill="FFFFFF"/>
          </w:tcPr>
          <w:p>
            <w:r>
              <w:rPr>
                <w:rFonts w:ascii="Calibri" w:hAnsi="Calibri"/>
                <w:b/>
                <w:i w:val="0"/>
                <w:color w:val="222222"/>
                <w:sz w:val="19"/>
              </w:rPr>
              <w:t>David</w:t>
            </w:r>
          </w:p>
        </w:tc>
        <w:tc>
          <w:tcPr>
            <w:tcW w:type="dxa" w:w="4896"/>
            <w:shd w:fill="FFFFFF"/>
          </w:tcPr>
          <w:p>
            <w:pPr>
              <w:jc w:val="right"/>
            </w:pPr>
            <w:r>
              <w:rPr>
                <w:rFonts w:ascii="Calibri" w:hAnsi="Calibri"/>
                <w:b w:val="0"/>
                <w:i w:val="0"/>
                <w:color w:val="222222"/>
                <w:sz w:val="19"/>
              </w:rPr>
              <w:t>40</w:t>
            </w:r>
          </w:p>
        </w:tc>
      </w:tr>
      <w:tr>
        <w:tc>
          <w:tcPr>
            <w:tcW w:type="dxa" w:w="4608"/>
            <w:shd w:fill="F8F9FA"/>
          </w:tcPr>
          <w:p>
            <w:r>
              <w:rPr>
                <w:rFonts w:ascii="Calibri" w:hAnsi="Calibri"/>
                <w:b/>
                <w:i w:val="0"/>
                <w:color w:val="222222"/>
                <w:sz w:val="19"/>
              </w:rPr>
              <w:t>Brandon</w:t>
            </w:r>
          </w:p>
        </w:tc>
        <w:tc>
          <w:tcPr>
            <w:tcW w:type="dxa" w:w="4896"/>
            <w:shd w:fill="F8F9FA"/>
          </w:tcPr>
          <w:p>
            <w:pPr>
              <w:jc w:val="right"/>
            </w:pPr>
            <w:r>
              <w:rPr>
                <w:rFonts w:ascii="Calibri" w:hAnsi="Calibri"/>
                <w:b w:val="0"/>
                <w:i w:val="0"/>
                <w:color w:val="222222"/>
                <w:sz w:val="19"/>
              </w:rPr>
              <w:t>34</w:t>
            </w:r>
          </w:p>
        </w:tc>
      </w:tr>
      <w:tr>
        <w:tc>
          <w:tcPr>
            <w:tcW w:type="dxa" w:w="4608"/>
            <w:shd w:fill="FFFFFF"/>
          </w:tcPr>
          <w:p>
            <w:r>
              <w:rPr>
                <w:rFonts w:ascii="Calibri" w:hAnsi="Calibri"/>
                <w:b/>
                <w:i w:val="0"/>
                <w:color w:val="222222"/>
                <w:sz w:val="19"/>
              </w:rPr>
              <w:t>Hannah</w:t>
            </w:r>
          </w:p>
        </w:tc>
        <w:tc>
          <w:tcPr>
            <w:tcW w:type="dxa" w:w="4896"/>
            <w:shd w:fill="FFFFFF"/>
          </w:tcPr>
          <w:p>
            <w:pPr>
              <w:jc w:val="right"/>
            </w:pPr>
            <w:r>
              <w:rPr>
                <w:rFonts w:ascii="Calibri" w:hAnsi="Calibri"/>
                <w:b w:val="0"/>
                <w:i w:val="0"/>
                <w:color w:val="222222"/>
                <w:sz w:val="19"/>
              </w:rPr>
              <w:t>32</w:t>
            </w:r>
          </w:p>
        </w:tc>
      </w:tr>
      <w:tr>
        <w:tc>
          <w:tcPr>
            <w:tcW w:type="dxa" w:w="4608"/>
            <w:shd w:fill="F8F9FA"/>
          </w:tcPr>
          <w:p>
            <w:r>
              <w:rPr>
                <w:rFonts w:ascii="Calibri" w:hAnsi="Calibri"/>
                <w:b/>
                <w:i w:val="0"/>
                <w:color w:val="222222"/>
                <w:sz w:val="19"/>
              </w:rPr>
              <w:t>Austin</w:t>
            </w:r>
          </w:p>
        </w:tc>
        <w:tc>
          <w:tcPr>
            <w:tcW w:type="dxa" w:w="4896"/>
            <w:shd w:fill="F8F9FA"/>
          </w:tcPr>
          <w:p>
            <w:pPr>
              <w:jc w:val="right"/>
            </w:pPr>
            <w:r>
              <w:rPr>
                <w:rFonts w:ascii="Calibri" w:hAnsi="Calibri"/>
                <w:b w:val="0"/>
                <w:i w:val="0"/>
                <w:color w:val="222222"/>
                <w:sz w:val="19"/>
              </w:rPr>
              <w:t>30</w:t>
            </w:r>
          </w:p>
        </w:tc>
      </w:tr>
      <w:tr>
        <w:tc>
          <w:tcPr>
            <w:tcW w:type="dxa" w:w="4608"/>
            <w:shd w:fill="FFFFFF"/>
          </w:tcPr>
          <w:p>
            <w:r>
              <w:rPr>
                <w:rFonts w:ascii="Calibri" w:hAnsi="Calibri"/>
                <w:b/>
                <w:i w:val="0"/>
                <w:color w:val="222222"/>
                <w:sz w:val="19"/>
              </w:rPr>
              <w:t>Robert</w:t>
            </w:r>
          </w:p>
        </w:tc>
        <w:tc>
          <w:tcPr>
            <w:tcW w:type="dxa" w:w="4896"/>
            <w:shd w:fill="FFFFFF"/>
          </w:tcPr>
          <w:p>
            <w:pPr>
              <w:jc w:val="right"/>
            </w:pPr>
            <w:r>
              <w:rPr>
                <w:rFonts w:ascii="Calibri" w:hAnsi="Calibri"/>
                <w:b w:val="0"/>
                <w:i w:val="0"/>
                <w:color w:val="222222"/>
                <w:sz w:val="19"/>
              </w:rPr>
              <w:t>27</w:t>
            </w:r>
          </w:p>
        </w:tc>
      </w:tr>
      <w:tr>
        <w:tc>
          <w:tcPr>
            <w:tcW w:type="dxa" w:w="4608"/>
            <w:shd w:fill="F8F9FA"/>
          </w:tcPr>
          <w:p>
            <w:r>
              <w:rPr>
                <w:rFonts w:ascii="Calibri" w:hAnsi="Calibri"/>
                <w:b/>
                <w:i w:val="0"/>
                <w:color w:val="222222"/>
                <w:sz w:val="19"/>
              </w:rPr>
              <w:t>Kyle</w:t>
            </w:r>
          </w:p>
        </w:tc>
        <w:tc>
          <w:tcPr>
            <w:tcW w:type="dxa" w:w="4896"/>
            <w:shd w:fill="F8F9FA"/>
          </w:tcPr>
          <w:p>
            <w:pPr>
              <w:jc w:val="right"/>
            </w:pPr>
            <w:r>
              <w:rPr>
                <w:rFonts w:ascii="Calibri" w:hAnsi="Calibri"/>
                <w:b w:val="0"/>
                <w:i w:val="0"/>
                <w:color w:val="222222"/>
                <w:sz w:val="19"/>
              </w:rPr>
              <w:t>25</w:t>
            </w:r>
          </w:p>
        </w:tc>
      </w:tr>
      <w:tr>
        <w:tc>
          <w:tcPr>
            <w:tcW w:type="dxa" w:w="4608"/>
            <w:shd w:fill="FFFFFF"/>
          </w:tcPr>
          <w:p>
            <w:r>
              <w:rPr>
                <w:rFonts w:ascii="Calibri" w:hAnsi="Calibri"/>
                <w:b/>
                <w:i w:val="0"/>
                <w:color w:val="222222"/>
                <w:sz w:val="19"/>
              </w:rPr>
              <w:t>Emily</w:t>
            </w:r>
          </w:p>
        </w:tc>
        <w:tc>
          <w:tcPr>
            <w:tcW w:type="dxa" w:w="4896"/>
            <w:shd w:fill="FFFFFF"/>
          </w:tcPr>
          <w:p>
            <w:pPr>
              <w:jc w:val="right"/>
            </w:pPr>
            <w:r>
              <w:rPr>
                <w:rFonts w:ascii="Calibri" w:hAnsi="Calibri"/>
                <w:b w:val="0"/>
                <w:i w:val="0"/>
                <w:color w:val="222222"/>
                <w:sz w:val="19"/>
              </w:rPr>
              <w:t>25</w:t>
            </w:r>
          </w:p>
        </w:tc>
      </w:tr>
      <w:tr>
        <w:tc>
          <w:tcPr>
            <w:tcW w:type="dxa" w:w="4608"/>
            <w:shd w:fill="F8F9FA"/>
          </w:tcPr>
          <w:p>
            <w:r>
              <w:rPr>
                <w:rFonts w:ascii="Calibri" w:hAnsi="Calibri"/>
                <w:b/>
                <w:i w:val="0"/>
                <w:color w:val="222222"/>
                <w:sz w:val="19"/>
              </w:rPr>
              <w:t>Eric</w:t>
            </w:r>
          </w:p>
        </w:tc>
        <w:tc>
          <w:tcPr>
            <w:tcW w:type="dxa" w:w="4896"/>
            <w:shd w:fill="F8F9FA"/>
          </w:tcPr>
          <w:p>
            <w:pPr>
              <w:jc w:val="right"/>
            </w:pPr>
            <w:r>
              <w:rPr>
                <w:rFonts w:ascii="Calibri" w:hAnsi="Calibri"/>
                <w:b w:val="0"/>
                <w:i w:val="0"/>
                <w:color w:val="222222"/>
                <w:sz w:val="19"/>
              </w:rPr>
              <w:t>24</w:t>
            </w:r>
          </w:p>
        </w:tc>
      </w:tr>
      <w:tr>
        <w:tc>
          <w:tcPr>
            <w:tcW w:type="dxa" w:w="4608"/>
            <w:shd w:fill="FFFFFF"/>
          </w:tcPr>
          <w:p>
            <w:r>
              <w:rPr>
                <w:rFonts w:ascii="Calibri" w:hAnsi="Calibri"/>
                <w:b/>
                <w:i w:val="0"/>
                <w:color w:val="222222"/>
                <w:sz w:val="19"/>
              </w:rPr>
              <w:t>Heather</w:t>
            </w:r>
          </w:p>
        </w:tc>
        <w:tc>
          <w:tcPr>
            <w:tcW w:type="dxa" w:w="4896"/>
            <w:shd w:fill="FFFFFF"/>
          </w:tcPr>
          <w:p>
            <w:pPr>
              <w:jc w:val="right"/>
            </w:pPr>
            <w:r>
              <w:rPr>
                <w:rFonts w:ascii="Calibri" w:hAnsi="Calibri"/>
                <w:b w:val="0"/>
                <w:i w:val="0"/>
                <w:color w:val="222222"/>
                <w:sz w:val="19"/>
              </w:rPr>
              <w:t>24</w:t>
            </w:r>
          </w:p>
        </w:tc>
      </w:tr>
      <w:tr>
        <w:tc>
          <w:tcPr>
            <w:tcW w:type="dxa" w:w="4608"/>
            <w:shd w:fill="F8F9FA"/>
          </w:tcPr>
          <w:p>
            <w:r>
              <w:rPr>
                <w:rFonts w:ascii="Calibri" w:hAnsi="Calibri"/>
                <w:b/>
                <w:i w:val="0"/>
                <w:color w:val="222222"/>
                <w:sz w:val="19"/>
              </w:rPr>
              <w:t>Jake</w:t>
            </w:r>
          </w:p>
        </w:tc>
        <w:tc>
          <w:tcPr>
            <w:tcW w:type="dxa" w:w="4896"/>
            <w:shd w:fill="F8F9FA"/>
          </w:tcPr>
          <w:p>
            <w:pPr>
              <w:jc w:val="right"/>
            </w:pPr>
            <w:r>
              <w:rPr>
                <w:rFonts w:ascii="Calibri" w:hAnsi="Calibri"/>
                <w:b w:val="0"/>
                <w:i w:val="0"/>
                <w:color w:val="222222"/>
                <w:sz w:val="19"/>
              </w:rPr>
              <w:t>24</w:t>
            </w:r>
          </w:p>
        </w:tc>
      </w:tr>
      <w:tr>
        <w:tc>
          <w:tcPr>
            <w:tcW w:type="dxa" w:w="4608"/>
            <w:shd w:fill="FFFFFF"/>
          </w:tcPr>
          <w:p>
            <w:r>
              <w:rPr>
                <w:rFonts w:ascii="Calibri" w:hAnsi="Calibri"/>
                <w:b/>
                <w:i w:val="0"/>
                <w:color w:val="222222"/>
                <w:sz w:val="19"/>
              </w:rPr>
              <w:t>Joseph</w:t>
            </w:r>
          </w:p>
        </w:tc>
        <w:tc>
          <w:tcPr>
            <w:tcW w:type="dxa" w:w="4896"/>
            <w:shd w:fill="FFFFFF"/>
          </w:tcPr>
          <w:p>
            <w:pPr>
              <w:jc w:val="right"/>
            </w:pPr>
            <w:r>
              <w:rPr>
                <w:rFonts w:ascii="Calibri" w:hAnsi="Calibri"/>
                <w:b w:val="0"/>
                <w:i w:val="0"/>
                <w:color w:val="222222"/>
                <w:sz w:val="19"/>
              </w:rPr>
              <w:t>23</w:t>
            </w:r>
          </w:p>
        </w:tc>
      </w:tr>
      <w:tr>
        <w:tc>
          <w:tcPr>
            <w:tcW w:type="dxa" w:w="4608"/>
            <w:shd w:fill="F8F9FA"/>
          </w:tcPr>
          <w:p>
            <w:r>
              <w:rPr>
                <w:rFonts w:ascii="Calibri" w:hAnsi="Calibri"/>
                <w:b/>
                <w:i w:val="0"/>
                <w:color w:val="222222"/>
                <w:sz w:val="19"/>
              </w:rPr>
              <w:t>Tyler</w:t>
            </w:r>
          </w:p>
        </w:tc>
        <w:tc>
          <w:tcPr>
            <w:tcW w:type="dxa" w:w="4896"/>
            <w:shd w:fill="F8F9FA"/>
          </w:tcPr>
          <w:p>
            <w:pPr>
              <w:jc w:val="right"/>
            </w:pPr>
            <w:r>
              <w:rPr>
                <w:rFonts w:ascii="Calibri" w:hAnsi="Calibri"/>
                <w:b w:val="0"/>
                <w:i w:val="0"/>
                <w:color w:val="222222"/>
                <w:sz w:val="19"/>
              </w:rPr>
              <w:t>23</w:t>
            </w:r>
          </w:p>
        </w:tc>
      </w:tr>
      <w:tr>
        <w:tc>
          <w:tcPr>
            <w:tcW w:type="dxa" w:w="4608"/>
            <w:shd w:fill="FFFFFF"/>
          </w:tcPr>
          <w:p>
            <w:r>
              <w:rPr>
                <w:rFonts w:ascii="Calibri" w:hAnsi="Calibri"/>
                <w:b/>
                <w:i w:val="0"/>
                <w:color w:val="222222"/>
                <w:sz w:val="19"/>
              </w:rPr>
              <w:t>Ryan</w:t>
            </w:r>
          </w:p>
        </w:tc>
        <w:tc>
          <w:tcPr>
            <w:tcW w:type="dxa" w:w="4896"/>
            <w:shd w:fill="FFFFFF"/>
          </w:tcPr>
          <w:p>
            <w:pPr>
              <w:jc w:val="right"/>
            </w:pPr>
            <w:r>
              <w:rPr>
                <w:rFonts w:ascii="Calibri" w:hAnsi="Calibri"/>
                <w:b w:val="0"/>
                <w:i w:val="0"/>
                <w:color w:val="222222"/>
                <w:sz w:val="19"/>
              </w:rPr>
              <w:t>22</w:t>
            </w:r>
          </w:p>
        </w:tc>
      </w:tr>
      <w:tr>
        <w:tc>
          <w:tcPr>
            <w:tcW w:type="dxa" w:w="4608"/>
            <w:shd w:fill="F8F9FA"/>
          </w:tcPr>
          <w:p>
            <w:r>
              <w:rPr>
                <w:rFonts w:ascii="Calibri" w:hAnsi="Calibri"/>
                <w:b/>
                <w:i w:val="0"/>
                <w:color w:val="222222"/>
                <w:sz w:val="19"/>
              </w:rPr>
              <w:t>Andrew</w:t>
            </w:r>
          </w:p>
        </w:tc>
        <w:tc>
          <w:tcPr>
            <w:tcW w:type="dxa" w:w="4896"/>
            <w:shd w:fill="F8F9FA"/>
          </w:tcPr>
          <w:p>
            <w:pPr>
              <w:jc w:val="right"/>
            </w:pPr>
            <w:r>
              <w:rPr>
                <w:rFonts w:ascii="Calibri" w:hAnsi="Calibri"/>
                <w:b w:val="0"/>
                <w:i w:val="0"/>
                <w:color w:val="222222"/>
                <w:sz w:val="19"/>
              </w:rPr>
              <w:t>22</w:t>
            </w:r>
          </w:p>
        </w:tc>
      </w:tr>
    </w:tbl>
    <w:p>
      <w:pPr>
        <w:spacing w:after="120"/>
      </w:pPr>
    </w:p>
    <w:p>
      <w:pPr>
        <w:spacing w:before="280" w:after="80"/>
      </w:pPr>
      <w:r>
        <w:rPr>
          <w:rFonts w:ascii="Calibri" w:hAnsi="Calibri"/>
          <w:b/>
          <w:i w:val="0"/>
          <w:color w:val="1B365D"/>
          <w:sz w:val="26"/>
        </w:rPr>
        <w:t>4. Démarche méthodologique : traitement rigoureux des homonymes</w:t>
      </w:r>
    </w:p>
    <w:p>
      <w:pPr>
        <w:spacing w:after="100" w:line="276" w:lineRule="auto"/>
      </w:pPr>
      <w:r>
        <w:rPr>
          <w:rFonts w:ascii="Calibri" w:hAnsi="Calibri"/>
          <w:b w:val="0"/>
          <w:i w:val="0"/>
          <w:color w:val="333333"/>
          <w:sz w:val="21"/>
        </w:rPr>
        <w:t>Une détection automatique par simple dictionnaire de prénoms produit un taux d'erreur inacceptable en anglais en raison de multiples termes polysémiques :</w:t>
      </w:r>
    </w:p>
    <w:p>
      <w:pPr>
        <w:pStyle w:val="ListBullet"/>
        <w:spacing w:after="60" w:line="276" w:lineRule="auto"/>
      </w:pPr>
      <w:r>
        <w:rPr>
          <w:rFonts w:ascii="Calibri" w:hAnsi="Calibri"/>
          <w:b/>
          <w:i w:val="0"/>
          <w:color w:val="222222"/>
          <w:sz w:val="20"/>
        </w:rPr>
        <w:t>Will :</w:t>
      </w:r>
      <w:r>
        <w:rPr>
          <w:rFonts w:ascii="Calibri" w:hAnsi="Calibri"/>
          <w:b w:val="0"/>
          <w:i w:val="0"/>
          <w:color w:val="333333"/>
          <w:sz w:val="20"/>
        </w:rPr>
        <w:t xml:space="preserve"> 1 442 apparitions dans le corpus, dont plus de 900 correspondent au verbe auxiliaire (« we will come back »).</w:t>
      </w:r>
    </w:p>
    <w:p>
      <w:pPr>
        <w:pStyle w:val="ListBullet"/>
        <w:spacing w:after="60" w:line="276" w:lineRule="auto"/>
      </w:pPr>
      <w:r>
        <w:rPr>
          <w:rFonts w:ascii="Calibri" w:hAnsi="Calibri"/>
          <w:b/>
          <w:i w:val="0"/>
          <w:color w:val="222222"/>
          <w:sz w:val="20"/>
        </w:rPr>
        <w:t>May :</w:t>
      </w:r>
      <w:r>
        <w:rPr>
          <w:rFonts w:ascii="Calibri" w:hAnsi="Calibri"/>
          <w:b w:val="0"/>
          <w:i w:val="0"/>
          <w:color w:val="333333"/>
          <w:sz w:val="20"/>
        </w:rPr>
        <w:t xml:space="preserve"> 113 apparitions, dont 78 correspondent à l'auxiliaire modal (« we may return ») ou au mois de l'année.</w:t>
      </w:r>
    </w:p>
    <w:p>
      <w:pPr>
        <w:pStyle w:val="ListBullet"/>
        <w:spacing w:after="60" w:line="276" w:lineRule="auto"/>
      </w:pPr>
      <w:r>
        <w:rPr>
          <w:rFonts w:ascii="Calibri" w:hAnsi="Calibri"/>
          <w:b/>
          <w:i w:val="0"/>
          <w:color w:val="222222"/>
          <w:sz w:val="20"/>
        </w:rPr>
        <w:t>Bill :</w:t>
      </w:r>
      <w:r>
        <w:rPr>
          <w:rFonts w:ascii="Calibri" w:hAnsi="Calibri"/>
          <w:b w:val="0"/>
          <w:i w:val="0"/>
          <w:color w:val="333333"/>
          <w:sz w:val="20"/>
        </w:rPr>
        <w:t xml:space="preserve"> 98 apparitions, dont 51 correspondent à l'addition au restaurant ou à la facture de travaux (« high water bill »).</w:t>
      </w:r>
    </w:p>
    <w:p>
      <w:pPr>
        <w:pStyle w:val="ListBullet"/>
        <w:spacing w:after="60" w:line="276" w:lineRule="auto"/>
      </w:pPr>
      <w:r>
        <w:rPr>
          <w:rFonts w:ascii="Calibri" w:hAnsi="Calibri"/>
          <w:b/>
          <w:i w:val="0"/>
          <w:color w:val="222222"/>
          <w:sz w:val="20"/>
        </w:rPr>
        <w:t>Rose :</w:t>
      </w:r>
      <w:r>
        <w:rPr>
          <w:rFonts w:ascii="Calibri" w:hAnsi="Calibri"/>
          <w:b w:val="0"/>
          <w:i w:val="0"/>
          <w:color w:val="333333"/>
          <w:sz w:val="20"/>
        </w:rPr>
        <w:t xml:space="preserve"> Fréquemment utilisé pour une fleur, une couleur ou le passé du verbe to rise (« prices rose »).</w:t>
      </w:r>
    </w:p>
    <w:p>
      <w:pPr>
        <w:pStyle w:val="ListBullet"/>
        <w:spacing w:after="60" w:line="276" w:lineRule="auto"/>
      </w:pPr>
      <w:r>
        <w:rPr>
          <w:rFonts w:ascii="Calibri" w:hAnsi="Calibri"/>
          <w:b/>
          <w:i w:val="0"/>
          <w:color w:val="222222"/>
          <w:sz w:val="20"/>
        </w:rPr>
        <w:t>Hope, Grace, Joy, Faith :</w:t>
      </w:r>
      <w:r>
        <w:rPr>
          <w:rFonts w:ascii="Calibri" w:hAnsi="Calibri"/>
          <w:b w:val="0"/>
          <w:i w:val="0"/>
          <w:color w:val="333333"/>
          <w:sz w:val="20"/>
        </w:rPr>
        <w:t xml:space="preserve"> Fréquemment employés comme vertus ou verbes ordinaires (« we hope to return », « with grace »).</w:t>
      </w:r>
    </w:p>
    <w:p>
      <w:pPr>
        <w:spacing w:after="100" w:line="276" w:lineRule="auto"/>
      </w:pPr>
      <w:r>
        <w:rPr>
          <w:rFonts w:ascii="Calibri" w:hAnsi="Calibri"/>
          <w:b w:val="0"/>
          <w:i w:val="0"/>
          <w:color w:val="333333"/>
          <w:sz w:val="21"/>
        </w:rPr>
        <w:t>Pour garantir la précision de la mesure, la chaîne de détection applique quatre filtres successifs :</w:t>
      </w:r>
    </w:p>
    <w:p>
      <w:pPr>
        <w:pStyle w:val="ListBullet"/>
        <w:spacing w:after="60" w:line="276" w:lineRule="auto"/>
      </w:pPr>
      <w:r>
        <w:rPr>
          <w:rFonts w:ascii="Calibri" w:hAnsi="Calibri"/>
          <w:b/>
          <w:i w:val="0"/>
          <w:color w:val="222222"/>
          <w:sz w:val="20"/>
        </w:rPr>
        <w:t>1. Cadres relationnels syntaxiques :</w:t>
      </w:r>
      <w:r>
        <w:rPr>
          <w:rFonts w:ascii="Calibri" w:hAnsi="Calibri"/>
          <w:b w:val="0"/>
          <w:i w:val="0"/>
          <w:color w:val="333333"/>
          <w:sz w:val="20"/>
        </w:rPr>
        <w:t xml:space="preserve"> Le prénom est recherché prioritairement au sein de structures d'interaction client explicites : formules de remerciement (« thanks to X », « kudos to X »), désignation de fonction (« technician X », « our server, X », « Dr. X »), action de service (« X helped us », « X did a great job »), ou appréciation directe (« X was very helpful and professional »).</w:t>
      </w:r>
    </w:p>
    <w:p>
      <w:pPr>
        <w:pStyle w:val="ListBullet"/>
        <w:spacing w:after="60" w:line="276" w:lineRule="auto"/>
      </w:pPr>
      <w:r>
        <w:rPr>
          <w:rFonts w:ascii="Calibri" w:hAnsi="Calibri"/>
          <w:b/>
          <w:i w:val="0"/>
          <w:color w:val="222222"/>
          <w:sz w:val="20"/>
        </w:rPr>
        <w:t>2. Règle négative sur homonymes :</w:t>
      </w:r>
      <w:r>
        <w:rPr>
          <w:rFonts w:ascii="Calibri" w:hAnsi="Calibri"/>
          <w:b w:val="0"/>
          <w:i w:val="0"/>
          <w:color w:val="333333"/>
          <w:sz w:val="20"/>
        </w:rPr>
        <w:t xml:space="preserve"> Une liste de 40 prénoms ambigus (Rose, May, Bill, Will, Hope, Grace, Art, Mark, Chase, Bob, Rob, Sue, Guy...) est verrouillée. Ces termes sont systématiquement rejetés lorsqu'ils sont précédés d'un déterminant ou pronom (« the bill », « we will ») ou isolés en début de phrase. Ils ne sont retenus que s'ils satisfont rigoureusement un cadre relationnel d'interaction humaine.</w:t>
      </w:r>
    </w:p>
    <w:p>
      <w:pPr>
        <w:pStyle w:val="ListBullet"/>
        <w:spacing w:after="60" w:line="276" w:lineRule="auto"/>
      </w:pPr>
      <w:r>
        <w:rPr>
          <w:rFonts w:ascii="Calibri" w:hAnsi="Calibri"/>
          <w:b/>
          <w:i w:val="0"/>
          <w:color w:val="222222"/>
          <w:sz w:val="20"/>
        </w:rPr>
        <w:t>3. Dictionnaire fermé non ambigu :</w:t>
      </w:r>
      <w:r>
        <w:rPr>
          <w:rFonts w:ascii="Calibri" w:hAnsi="Calibri"/>
          <w:b w:val="0"/>
          <w:i w:val="0"/>
          <w:color w:val="333333"/>
          <w:sz w:val="20"/>
        </w:rPr>
        <w:t xml:space="preserve"> Pour les prénoms sans ambiguïté lexicale (Michael, Tyler, Brandon, Jessica...), ils sont acceptés dès lors qu'ils portent une majuscule et ne constituent pas le premier mot d'une enseigne.</w:t>
      </w:r>
    </w:p>
    <w:p>
      <w:pPr>
        <w:pStyle w:val="ListBullet"/>
        <w:spacing w:after="60" w:line="276" w:lineRule="auto"/>
      </w:pPr>
      <w:r>
        <w:rPr>
          <w:rFonts w:ascii="Calibri" w:hAnsi="Calibri"/>
          <w:b/>
          <w:i w:val="0"/>
          <w:color w:val="222222"/>
          <w:sz w:val="20"/>
        </w:rPr>
        <w:t>4. Relecture de contrôle :</w:t>
      </w:r>
      <w:r>
        <w:rPr>
          <w:rFonts w:ascii="Calibri" w:hAnsi="Calibri"/>
          <w:b w:val="0"/>
          <w:i w:val="0"/>
          <w:color w:val="333333"/>
          <w:sz w:val="20"/>
        </w:rPr>
        <w:t xml:space="preserve"> Des tirages aléatoires de 100 textes positifs et 100 rejets d'homonymes ont confirmé la propreté de l'étiquetage avant d'engager le comptage.</w:t>
      </w:r>
    </w:p>
    <w:p>
      <w:pPr>
        <w:spacing w:before="280" w:after="80"/>
      </w:pPr>
      <w:r>
        <w:rPr>
          <w:rFonts w:ascii="Calibri" w:hAnsi="Calibri"/>
          <w:b/>
          <w:i w:val="0"/>
          <w:color w:val="1B365D"/>
          <w:sz w:val="26"/>
        </w:rPr>
        <w:t>5. Réserves d'interprétation</w:t>
      </w:r>
    </w:p>
    <w:p>
      <w:pPr>
        <w:pStyle w:val="ListBullet"/>
        <w:spacing w:after="60" w:line="276" w:lineRule="auto"/>
      </w:pPr>
      <w:r>
        <w:rPr>
          <w:rFonts w:ascii="Calibri" w:hAnsi="Calibri"/>
          <w:b/>
          <w:i w:val="0"/>
          <w:color w:val="222222"/>
          <w:sz w:val="20"/>
        </w:rPr>
        <w:t>Effet de composition sectorielle :</w:t>
      </w:r>
      <w:r>
        <w:rPr>
          <w:rFonts w:ascii="Calibri" w:hAnsi="Calibri"/>
          <w:b w:val="0"/>
          <w:i w:val="0"/>
          <w:color w:val="333333"/>
          <w:sz w:val="20"/>
        </w:rPr>
        <w:t xml:space="preserve"> Les prénoms se concentrent dans les métiers d'intervention à domicile (dépannage, plomberie, serrurerie, antiparasitaires) où le technicien sollicite souvent l'avis en direct. Une partie du sur-risque provient de la surveillance accrue de Google sur ces secteurs.</w:t>
      </w:r>
    </w:p>
    <w:p>
      <w:pPr>
        <w:pStyle w:val="ListBullet"/>
        <w:spacing w:after="60" w:line="276" w:lineRule="auto"/>
      </w:pPr>
      <w:r>
        <w:rPr>
          <w:rFonts w:ascii="Calibri" w:hAnsi="Calibri"/>
          <w:b/>
          <w:i w:val="0"/>
          <w:color w:val="222222"/>
          <w:sz w:val="20"/>
        </w:rPr>
        <w:t>Marqueur de sollicitation :</w:t>
      </w:r>
      <w:r>
        <w:rPr>
          <w:rFonts w:ascii="Calibri" w:hAnsi="Calibri"/>
          <w:b w:val="0"/>
          <w:i w:val="0"/>
          <w:color w:val="333333"/>
          <w:sz w:val="20"/>
        </w:rPr>
        <w:t xml:space="preserve"> L'algorithme de Google ne sanctionne pas la présence lexicale du prénom isolément. Il sanctionne les caractéristiques associées aux avis incités : dépôt immédiat sur le réseau local du client, volume inhabituel par établissement, et formulation standardisée répétée sur plusieurs succursales.</w:t>
      </w:r>
    </w:p>
    <w:sectPr w:rsidR="00FC693F" w:rsidRPr="0006063C" w:rsidSect="00034616">
      <w:pgSz w:w="12240" w:h="15840"/>
      <w:pgMar w:top="1152" w:right="1368" w:bottom="1152"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