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 texte des avis supprimés</w:t>
      </w:r>
    </w:p>
    <w:p>
      <w:r>
        <w:rPr>
          <w:i/>
          <w:color w:val="52514E"/>
          <w:sz w:val="21"/>
        </w:rPr>
        <w:t>ReviewFlowz — 21 septembre 2026 — panel 03B, 35 751 avis publiés du 4 au 17 août 2026, suivis jusqu'au 24 août</w:t>
      </w:r>
    </w:p>
    <w:p>
      <w:r>
        <w:rPr>
          <w:color w:val="52514E"/>
          <w:sz w:val="18"/>
        </w:rPr>
        <w:t>Document en cours. Les sections « Ce que montrent les groupes de textes » et « L'écart entre les deux populations » seront remplies quand les calculs auront tourné. Tout le reste est établi.</w:t>
      </w:r>
    </w:p>
    <w:p>
      <w:pPr>
        <w:pStyle w:val="Heading1"/>
      </w:pPr>
      <w:r>
        <w:t>La question</w:t>
      </w:r>
    </w:p>
    <w:p>
      <w:r>
        <w:t>Les avis que Google retire ressemblent-ils, par leur texte, à ceux qui restent en ligne ? La note, l'âge et le profil de l'auteur ont déjà été mesurés. Le texte lui-même ne l'a été que par sa forme : sa longueur, ses majuscules, ses points d'exclamation.</w:t>
      </w:r>
    </w:p>
    <w:p>
      <w:r>
        <w:t>L'objet de cette étude est de comparer les textes eux-mêmes. Chaque avis est transformé en une suite de 768 nombres qui résume ce qu'il raconte, de telle sorte que deux avis qui disent la même chose, même dans deux langues différentes, obtiennent deux suites voisines. On peut alors regrouper les avis par ce qu'ils racontent et regarder, dans chaque groupe, la part de ce qui a disparu.</w:t>
      </w:r>
    </w:p>
    <w:p>
      <w:pPr>
        <w:pStyle w:val="Heading1"/>
      </w:pPr>
      <w:r>
        <w:t>Ce qui a déjà été tenté sur le texte</w:t>
      </w:r>
    </w:p>
    <w:p>
      <w:r>
        <w:t>Le 16 septembre, un modèle a été nourri des caractéristiques de forme du texte, d'un repérage de désaccord entre la note et le vocabulaire employé, et des 50 termes les plus fréquents du corpus. Sa capacité à classer les avis est passée de 0,860 à 0,864.</w:t>
      </w:r>
    </w:p>
    <w:p>
      <w:r>
        <w:t>Le texte n'a donc presque rien apporté à la capacité de deviner qui sera supprimé. Cette étude poursuit un autre but : décrire ce qui distingue les deux populations, et nommer les familles d'avis qui disparaissent.</w:t>
      </w:r>
    </w:p>
    <w:p>
      <w:pPr>
        <w:pStyle w:val="Heading1"/>
      </w:pPr>
      <w:r>
        <w:t>La population étudiée</w:t>
      </w:r>
    </w:p>
    <w:p>
      <w:r>
        <w:t>Un avis sans texte ne peut pas être encodé. La population de cette étude est celle des avis du panel qui portent un texte non vide.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
              <w:rPr>
                <w:b/>
                <w:sz w:val="19"/>
              </w:rPr>
            </w:r>
          </w:p>
        </w:tc>
        <w:tc>
          <w:tcPr>
            <w:tcW w:type="dxa" w:w="2340"/>
          </w:tcPr>
          <w:p>
            <w:r/>
            <w:r>
              <w:rPr>
                <w:b/>
                <w:sz w:val="19"/>
              </w:rPr>
              <w:t>avis du panel</w:t>
            </w:r>
          </w:p>
        </w:tc>
        <w:tc>
          <w:tcPr>
            <w:tcW w:type="dxa" w:w="2340"/>
          </w:tcPr>
          <w:p>
            <w:r/>
            <w:r>
              <w:rPr>
                <w:b/>
                <w:sz w:val="19"/>
              </w:rPr>
              <w:t>dont avec texte</w:t>
            </w:r>
          </w:p>
        </w:tc>
        <w:tc>
          <w:tcPr>
            <w:tcW w:type="dxa" w:w="2340"/>
          </w:tcPr>
          <w:p>
            <w:r/>
            <w:r>
              <w:rPr>
                <w:b/>
                <w:sz w:val="19"/>
              </w:rPr>
              <w:t>part</w:t>
            </w:r>
          </w:p>
        </w:tc>
      </w:tr>
      <w:tr>
        <w:tc>
          <w:tcPr>
            <w:tcW w:type="dxa" w:w="2340"/>
          </w:tcPr>
          <w:p>
            <w:r/>
            <w:r>
              <w:rPr>
                <w:sz w:val="19"/>
              </w:rPr>
              <w:t>restés en ligne</w:t>
            </w:r>
          </w:p>
        </w:tc>
        <w:tc>
          <w:tcPr>
            <w:tcW w:type="dxa" w:w="2340"/>
          </w:tcPr>
          <w:p>
            <w:pPr>
              <w:jc w:val="right"/>
            </w:pPr>
            <w:r/>
            <w:r>
              <w:rPr>
                <w:sz w:val="19"/>
              </w:rPr>
              <w:t>34 396</w:t>
            </w:r>
          </w:p>
        </w:tc>
        <w:tc>
          <w:tcPr>
            <w:tcW w:type="dxa" w:w="2340"/>
          </w:tcPr>
          <w:p>
            <w:pPr>
              <w:jc w:val="right"/>
            </w:pPr>
            <w:r/>
            <w:r>
              <w:rPr>
                <w:sz w:val="19"/>
              </w:rPr>
              <w:t>25 147</w:t>
            </w:r>
          </w:p>
        </w:tc>
        <w:tc>
          <w:tcPr>
            <w:tcW w:type="dxa" w:w="2340"/>
          </w:tcPr>
          <w:p>
            <w:pPr>
              <w:jc w:val="right"/>
            </w:pPr>
            <w:r/>
            <w:r>
              <w:rPr>
                <w:sz w:val="19"/>
              </w:rPr>
              <w:t>73,1 %</w:t>
            </w:r>
          </w:p>
        </w:tc>
      </w:tr>
      <w:tr>
        <w:tc>
          <w:tcPr>
            <w:tcW w:type="dxa" w:w="2340"/>
          </w:tcPr>
          <w:p>
            <w:r/>
            <w:r>
              <w:rPr>
                <w:sz w:val="19"/>
              </w:rPr>
              <w:t>supprimés</w:t>
            </w:r>
          </w:p>
        </w:tc>
        <w:tc>
          <w:tcPr>
            <w:tcW w:type="dxa" w:w="2340"/>
          </w:tcPr>
          <w:p>
            <w:pPr>
              <w:jc w:val="right"/>
            </w:pPr>
            <w:r/>
            <w:r>
              <w:rPr>
                <w:sz w:val="19"/>
              </w:rPr>
              <w:t>1 355</w:t>
            </w:r>
          </w:p>
        </w:tc>
        <w:tc>
          <w:tcPr>
            <w:tcW w:type="dxa" w:w="2340"/>
          </w:tcPr>
          <w:p>
            <w:pPr>
              <w:jc w:val="right"/>
            </w:pPr>
            <w:r/>
            <w:r>
              <w:rPr>
                <w:sz w:val="19"/>
              </w:rPr>
              <w:t>1 021</w:t>
            </w:r>
          </w:p>
        </w:tc>
        <w:tc>
          <w:tcPr>
            <w:tcW w:type="dxa" w:w="2340"/>
          </w:tcPr>
          <w:p>
            <w:pPr>
              <w:jc w:val="right"/>
            </w:pPr>
            <w:r/>
            <w:r>
              <w:rPr>
                <w:sz w:val="19"/>
              </w:rPr>
              <w:t>75,3 %</w:t>
            </w:r>
          </w:p>
        </w:tc>
      </w:tr>
      <w:tr>
        <w:tc>
          <w:tcPr>
            <w:tcW w:type="dxa" w:w="2340"/>
          </w:tcPr>
          <w:p>
            <w:r/>
            <w:r>
              <w:rPr>
                <w:sz w:val="19"/>
              </w:rPr>
              <w:t>ensemble</w:t>
            </w:r>
          </w:p>
        </w:tc>
        <w:tc>
          <w:tcPr>
            <w:tcW w:type="dxa" w:w="2340"/>
          </w:tcPr>
          <w:p>
            <w:pPr>
              <w:jc w:val="right"/>
            </w:pPr>
            <w:r/>
            <w:r>
              <w:rPr>
                <w:sz w:val="19"/>
              </w:rPr>
              <w:t>35 751</w:t>
            </w:r>
          </w:p>
        </w:tc>
        <w:tc>
          <w:tcPr>
            <w:tcW w:type="dxa" w:w="2340"/>
          </w:tcPr>
          <w:p>
            <w:pPr>
              <w:jc w:val="right"/>
            </w:pPr>
            <w:r/>
            <w:r>
              <w:rPr>
                <w:sz w:val="19"/>
              </w:rPr>
              <w:t>26 168</w:t>
            </w:r>
          </w:p>
        </w:tc>
        <w:tc>
          <w:tcPr>
            <w:tcW w:type="dxa" w:w="2340"/>
          </w:tcPr>
          <w:p>
            <w:pPr>
              <w:jc w:val="right"/>
            </w:pPr>
            <w:r/>
            <w:r>
              <w:rPr>
                <w:sz w:val="19"/>
              </w:rPr>
              <w:t>73,2 %</w:t>
            </w:r>
          </w:p>
        </w:tc>
      </w:tr>
    </w:tbl>
    <w:p/>
    <w:p>
      <w:r>
        <w:t>Ces 26 168 avis se répartissent sur 4 971 fiches et 26 058 auteurs. Un auteur ne dépose donc presque jamais plus d'un avis dans ce panel.</w:t>
      </w:r>
    </w:p>
    <w:p>
      <w:pPr>
        <w:pStyle w:val="Heading2"/>
      </w:pPr>
      <w:r>
        <w:t>Les avis supprimés ne sont pas plus souvent sans texte</w:t>
      </w:r>
    </w:p>
    <w:p>
      <w:r>
        <w:t>Sur ce panel, 24,6 % des avis supprimés n'ont pas de texte, contre 26,9 % des avis restés en ligne. Une fois les enseignes signalées retirées, l'écart se creuse dans le même sens : 19,9 % contre 26,7 %.</w:t>
      </w:r>
    </w:p>
    <w:p>
      <w:r>
        <w:t>La ligne L5 du backlog, « pourquoi 30 % des avis supprimés n'ont aucun texte », porte sur le panel des 225 757 avis publiés dans les 90 jours avant le 11 août. Elle ne se transpose pas au panel 03B. Un avis supprimé y porte un texte un peu plus souvent que la moyenne.</w:t>
      </w:r>
    </w:p>
    <w:p>
      <w:pPr>
        <w:pStyle w:val="Heading1"/>
      </w:pPr>
      <w:r>
        <w:t>Ce que l'étape préparatoire montre déjà</w:t>
      </w:r>
    </w:p>
    <w:p>
      <w:pPr>
        <w:pStyle w:val="Heading2"/>
      </w:pPr>
      <w:r>
        <w:t>1. Les chaînes antiparasitaires portent une suppression sur trois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
              <w:rPr>
                <w:b/>
                <w:sz w:val="19"/>
              </w:rPr>
              <w:t>groupe</w:t>
            </w:r>
          </w:p>
        </w:tc>
        <w:tc>
          <w:tcPr>
            <w:tcW w:type="dxa" w:w="1560"/>
          </w:tcPr>
          <w:p>
            <w:r/>
            <w:r>
              <w:rPr>
                <w:b/>
                <w:sz w:val="19"/>
              </w:rPr>
              <w:t>fiches</w:t>
            </w:r>
          </w:p>
        </w:tc>
        <w:tc>
          <w:tcPr>
            <w:tcW w:type="dxa" w:w="1560"/>
          </w:tcPr>
          <w:p>
            <w:r/>
            <w:r>
              <w:rPr>
                <w:b/>
                <w:sz w:val="19"/>
              </w:rPr>
              <w:t>avis</w:t>
            </w:r>
          </w:p>
        </w:tc>
        <w:tc>
          <w:tcPr>
            <w:tcW w:type="dxa" w:w="1560"/>
          </w:tcPr>
          <w:p>
            <w:r/>
            <w:r>
              <w:rPr>
                <w:b/>
                <w:sz w:val="19"/>
              </w:rPr>
              <w:t>avec texte</w:t>
            </w:r>
          </w:p>
        </w:tc>
        <w:tc>
          <w:tcPr>
            <w:tcW w:type="dxa" w:w="1560"/>
          </w:tcPr>
          <w:p>
            <w:r/>
            <w:r>
              <w:rPr>
                <w:b/>
                <w:sz w:val="19"/>
              </w:rPr>
              <w:t>supprimés</w:t>
            </w:r>
          </w:p>
        </w:tc>
        <w:tc>
          <w:tcPr>
            <w:tcW w:type="dxa" w:w="1560"/>
          </w:tcPr>
          <w:p>
            <w:r/>
            <w:r>
              <w:rPr>
                <w:b/>
                <w:sz w:val="19"/>
              </w:rPr>
              <w:t>part supprimée sur les textes</w:t>
            </w:r>
          </w:p>
        </w:tc>
      </w:tr>
      <w:tr>
        <w:tc>
          <w:tcPr>
            <w:tcW w:type="dxa" w:w="1560"/>
          </w:tcPr>
          <w:p>
            <w:r/>
            <w:r>
              <w:rPr>
                <w:sz w:val="19"/>
              </w:rPr>
              <w:t>reste du panel</w:t>
            </w:r>
          </w:p>
        </w:tc>
        <w:tc>
          <w:tcPr>
            <w:tcW w:type="dxa" w:w="1560"/>
          </w:tcPr>
          <w:p>
            <w:pPr>
              <w:jc w:val="right"/>
            </w:pPr>
            <w:r/>
            <w:r>
              <w:rPr>
                <w:sz w:val="19"/>
              </w:rPr>
              <w:t>5 470</w:t>
            </w:r>
          </w:p>
        </w:tc>
        <w:tc>
          <w:tcPr>
            <w:tcW w:type="dxa" w:w="1560"/>
          </w:tcPr>
          <w:p>
            <w:pPr>
              <w:jc w:val="right"/>
            </w:pPr>
            <w:r/>
            <w:r>
              <w:rPr>
                <w:sz w:val="19"/>
              </w:rPr>
              <w:t>33 082</w:t>
            </w:r>
          </w:p>
        </w:tc>
        <w:tc>
          <w:tcPr>
            <w:tcW w:type="dxa" w:w="1560"/>
          </w:tcPr>
          <w:p>
            <w:pPr>
              <w:jc w:val="right"/>
            </w:pPr>
            <w:r/>
            <w:r>
              <w:rPr>
                <w:sz w:val="19"/>
              </w:rPr>
              <w:t>24 298</w:t>
            </w:r>
          </w:p>
        </w:tc>
        <w:tc>
          <w:tcPr>
            <w:tcW w:type="dxa" w:w="1560"/>
          </w:tcPr>
          <w:p>
            <w:pPr>
              <w:jc w:val="right"/>
            </w:pPr>
            <w:r/>
            <w:r>
              <w:rPr>
                <w:sz w:val="19"/>
              </w:rPr>
              <w:t>871</w:t>
            </w:r>
          </w:p>
        </w:tc>
        <w:tc>
          <w:tcPr>
            <w:tcW w:type="dxa" w:w="1560"/>
          </w:tcPr>
          <w:p>
            <w:pPr>
              <w:jc w:val="right"/>
            </w:pPr>
            <w:r/>
            <w:r>
              <w:rPr>
                <w:sz w:val="19"/>
              </w:rPr>
              <w:t>2,9 %</w:t>
            </w:r>
          </w:p>
        </w:tc>
      </w:tr>
      <w:tr>
        <w:tc>
          <w:tcPr>
            <w:tcW w:type="dxa" w:w="1560"/>
          </w:tcPr>
          <w:p>
            <w:r/>
            <w:r>
              <w:rPr>
                <w:sz w:val="19"/>
              </w:rPr>
              <w:t>chaînes antiparasitaires américaines</w:t>
            </w:r>
          </w:p>
        </w:tc>
        <w:tc>
          <w:tcPr>
            <w:tcW w:type="dxa" w:w="1560"/>
          </w:tcPr>
          <w:p>
            <w:pPr>
              <w:jc w:val="right"/>
            </w:pPr>
            <w:r/>
            <w:r>
              <w:rPr>
                <w:sz w:val="19"/>
              </w:rPr>
              <w:t>94</w:t>
            </w:r>
          </w:p>
        </w:tc>
        <w:tc>
          <w:tcPr>
            <w:tcW w:type="dxa" w:w="1560"/>
          </w:tcPr>
          <w:p>
            <w:pPr>
              <w:jc w:val="right"/>
            </w:pPr>
            <w:r/>
            <w:r>
              <w:rPr>
                <w:sz w:val="19"/>
              </w:rPr>
              <w:t>2 645</w:t>
            </w:r>
          </w:p>
        </w:tc>
        <w:tc>
          <w:tcPr>
            <w:tcW w:type="dxa" w:w="1560"/>
          </w:tcPr>
          <w:p>
            <w:pPr>
              <w:jc w:val="right"/>
            </w:pPr>
            <w:r/>
            <w:r>
              <w:rPr>
                <w:sz w:val="19"/>
              </w:rPr>
              <w:t>1 863</w:t>
            </w:r>
          </w:p>
        </w:tc>
        <w:tc>
          <w:tcPr>
            <w:tcW w:type="dxa" w:w="1560"/>
          </w:tcPr>
          <w:p>
            <w:pPr>
              <w:jc w:val="right"/>
            </w:pPr>
            <w:r/>
            <w:r>
              <w:rPr>
                <w:sz w:val="19"/>
              </w:rPr>
              <w:t>461</w:t>
            </w:r>
          </w:p>
        </w:tc>
        <w:tc>
          <w:tcPr>
            <w:tcW w:type="dxa" w:w="1560"/>
          </w:tcPr>
          <w:p>
            <w:pPr>
              <w:jc w:val="right"/>
            </w:pPr>
            <w:r/>
            <w:r>
              <w:rPr>
                <w:sz w:val="19"/>
              </w:rPr>
              <w:t>17,0 %</w:t>
            </w:r>
          </w:p>
        </w:tc>
      </w:tr>
      <w:tr>
        <w:tc>
          <w:tcPr>
            <w:tcW w:type="dxa" w:w="1560"/>
          </w:tcPr>
          <w:p>
            <w:r/>
            <w:r>
              <w:rPr>
                <w:sz w:val="19"/>
              </w:rPr>
              <w:t>salles de sport attaquées</w:t>
            </w:r>
          </w:p>
        </w:tc>
        <w:tc>
          <w:tcPr>
            <w:tcW w:type="dxa" w:w="1560"/>
          </w:tcPr>
          <w:p>
            <w:pPr>
              <w:jc w:val="right"/>
            </w:pPr>
            <w:r/>
            <w:r>
              <w:rPr>
                <w:sz w:val="19"/>
              </w:rPr>
              <w:t>2</w:t>
            </w:r>
          </w:p>
        </w:tc>
        <w:tc>
          <w:tcPr>
            <w:tcW w:type="dxa" w:w="1560"/>
          </w:tcPr>
          <w:p>
            <w:pPr>
              <w:jc w:val="right"/>
            </w:pPr>
            <w:r/>
            <w:r>
              <w:rPr>
                <w:sz w:val="19"/>
              </w:rPr>
              <w:t>24</w:t>
            </w:r>
          </w:p>
        </w:tc>
        <w:tc>
          <w:tcPr>
            <w:tcW w:type="dxa" w:w="1560"/>
          </w:tcPr>
          <w:p>
            <w:pPr>
              <w:jc w:val="right"/>
            </w:pPr>
            <w:r/>
            <w:r>
              <w:rPr>
                <w:sz w:val="19"/>
              </w:rPr>
              <w:t>7</w:t>
            </w:r>
          </w:p>
        </w:tc>
        <w:tc>
          <w:tcPr>
            <w:tcW w:type="dxa" w:w="1560"/>
          </w:tcPr>
          <w:p>
            <w:pPr>
              <w:jc w:val="right"/>
            </w:pPr>
            <w:r/>
            <w:r>
              <w:rPr>
                <w:sz w:val="19"/>
              </w:rPr>
              <w:t>23</w:t>
            </w:r>
          </w:p>
        </w:tc>
        <w:tc>
          <w:tcPr>
            <w:tcW w:type="dxa" w:w="1560"/>
          </w:tcPr>
          <w:p>
            <w:pPr>
              <w:jc w:val="right"/>
            </w:pPr>
            <w:r/>
            <w:r>
              <w:rPr>
                <w:sz w:val="19"/>
              </w:rPr>
              <w:t>85,7 %</w:t>
            </w:r>
          </w:p>
        </w:tc>
      </w:tr>
    </w:tbl>
    <w:p/>
    <w:p>
      <w:r>
        <w:t>Ces quatre enseignes portent 461 des 1 355 suppressions du panel pour 7,1 % des avis qui ont un texte. Elles domineront tout regroupement. Chaque résultat de cette étude sort donc en deux versions, avec et sans elles.</w:t>
      </w:r>
    </w:p>
    <w:p>
      <w:r>
        <w:t>Les deux salles de sport espagnoles attaquées ne comptent pas ici : elles portent 24 avis, dont 7 avec texte. Les garder ou les retirer ne change aucun chiffre de cette étude.</w:t>
      </w:r>
    </w:p>
    <w:p>
      <w:pPr>
        <w:pStyle w:val="Heading2"/>
      </w:pPr>
      <w:r>
        <w:t>2. Les textes supprimés sont plus longs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b/>
                <w:sz w:val="19"/>
              </w:rPr>
            </w:r>
          </w:p>
        </w:tc>
        <w:tc>
          <w:tcPr>
            <w:tcW w:type="dxa" w:w="3120"/>
          </w:tcPr>
          <w:p>
            <w:r/>
            <w:r>
              <w:rPr>
                <w:b/>
                <w:sz w:val="19"/>
              </w:rPr>
              <w:t>restés en ligne</w:t>
            </w:r>
          </w:p>
        </w:tc>
        <w:tc>
          <w:tcPr>
            <w:tcW w:type="dxa" w:w="3120"/>
          </w:tcPr>
          <w:p>
            <w:r/>
            <w:r>
              <w:rPr>
                <w:b/>
                <w:sz w:val="19"/>
              </w:rPr>
              <w:t>supprimés</w:t>
            </w:r>
          </w:p>
        </w:tc>
      </w:tr>
      <w:tr>
        <w:tc>
          <w:tcPr>
            <w:tcW w:type="dxa" w:w="3120"/>
          </w:tcPr>
          <w:p>
            <w:r/>
            <w:r>
              <w:rPr>
                <w:sz w:val="19"/>
              </w:rPr>
              <w:t>moyenne</w:t>
            </w:r>
          </w:p>
        </w:tc>
        <w:tc>
          <w:tcPr>
            <w:tcW w:type="dxa" w:w="3120"/>
          </w:tcPr>
          <w:p>
            <w:r/>
            <w:r>
              <w:rPr>
                <w:sz w:val="19"/>
              </w:rPr>
              <w:t>267 caractères, 46 mots</w:t>
            </w:r>
          </w:p>
        </w:tc>
        <w:tc>
          <w:tcPr>
            <w:tcW w:type="dxa" w:w="3120"/>
          </w:tcPr>
          <w:p>
            <w:r/>
            <w:r>
              <w:rPr>
                <w:sz w:val="19"/>
              </w:rPr>
              <w:t>322 caractères, 56 mots</w:t>
            </w:r>
          </w:p>
        </w:tc>
      </w:tr>
      <w:tr>
        <w:tc>
          <w:tcPr>
            <w:tcW w:type="dxa" w:w="3120"/>
          </w:tcPr>
          <w:p>
            <w:r/>
            <w:r>
              <w:rPr>
                <w:sz w:val="19"/>
              </w:rPr>
              <w:t>moitié des avis sous</w:t>
            </w:r>
          </w:p>
        </w:tc>
        <w:tc>
          <w:tcPr>
            <w:tcW w:type="dxa" w:w="3120"/>
          </w:tcPr>
          <w:p>
            <w:r/>
            <w:r>
              <w:rPr>
                <w:sz w:val="19"/>
              </w:rPr>
              <w:t>138 caractères, 24 mots</w:t>
            </w:r>
          </w:p>
        </w:tc>
        <w:tc>
          <w:tcPr>
            <w:tcW w:type="dxa" w:w="3120"/>
          </w:tcPr>
          <w:p>
            <w:r/>
            <w:r>
              <w:rPr>
                <w:sz w:val="19"/>
              </w:rPr>
              <w:t>157 caractères, 27 mots</w:t>
            </w:r>
          </w:p>
        </w:tc>
      </w:tr>
      <w:tr>
        <w:tc>
          <w:tcPr>
            <w:tcW w:type="dxa" w:w="3120"/>
          </w:tcPr>
          <w:p>
            <w:r/>
            <w:r>
              <w:rPr>
                <w:sz w:val="19"/>
              </w:rPr>
              <w:t>9 avis sur 10 sous</w:t>
            </w:r>
          </w:p>
        </w:tc>
        <w:tc>
          <w:tcPr>
            <w:tcW w:type="dxa" w:w="3120"/>
          </w:tcPr>
          <w:p>
            <w:r/>
            <w:r>
              <w:rPr>
                <w:sz w:val="19"/>
              </w:rPr>
              <w:t>619 caractères, 108 mots</w:t>
            </w:r>
          </w:p>
        </w:tc>
        <w:tc>
          <w:tcPr>
            <w:tcW w:type="dxa" w:w="3120"/>
          </w:tcPr>
          <w:p>
            <w:r/>
            <w:r>
              <w:rPr>
                <w:sz w:val="19"/>
              </w:rPr>
              <w:t>763 caractères, 133 mots</w:t>
            </w:r>
          </w:p>
        </w:tc>
      </w:tr>
      <w:tr>
        <w:tc>
          <w:tcPr>
            <w:tcW w:type="dxa" w:w="3120"/>
          </w:tcPr>
          <w:p>
            <w:r/>
            <w:r>
              <w:rPr>
                <w:sz w:val="19"/>
              </w:rPr>
              <w:t>le plus long</w:t>
            </w:r>
          </w:p>
        </w:tc>
        <w:tc>
          <w:tcPr>
            <w:tcW w:type="dxa" w:w="3120"/>
          </w:tcPr>
          <w:p>
            <w:r/>
            <w:r>
              <w:rPr>
                <w:sz w:val="19"/>
              </w:rPr>
              <w:t>4 085 caractères, 771 mots</w:t>
            </w:r>
          </w:p>
        </w:tc>
        <w:tc>
          <w:tcPr>
            <w:tcW w:type="dxa" w:w="3120"/>
          </w:tcPr>
          <w:p>
            <w:r/>
            <w:r>
              <w:rPr>
                <w:sz w:val="19"/>
              </w:rPr>
              <w:t>3 351 caractères, 587 mots</w:t>
            </w:r>
          </w:p>
        </w:tc>
      </w:tr>
    </w:tbl>
    <w:p/>
    <w:p>
      <w:r>
        <w:rPr>
          <w:color w:val="52514E"/>
          <w:sz w:val="18"/>
        </w:rPr>
        <w:t>Hors enseignes signalées. Fichier A4-longueurs.csv.</w:t>
      </w:r>
    </w:p>
    <w:p>
      <w:r>
        <w:t>L'écart est visible sur les quatre mesures et n'a besoin d'aucun encodage pour être constaté. Il devient une réserve pour la suite : un modèle de texte sépare un texte long d'un texte court, donc une partie de ce qu'il trouvera sera cette différence de longueur. La longueur figurera dans la lecture de chaque groupe.</w:t>
      </w:r>
    </w:p>
    <w:p>
      <w:pPr>
        <w:pStyle w:val="Heading2"/>
      </w:pPr>
      <w:r>
        <w:t>3. Plus d'un tiers des textes ne sont pas en anglais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b/>
                <w:sz w:val="19"/>
              </w:rPr>
              <w:t>langue</w:t>
            </w:r>
          </w:p>
        </w:tc>
        <w:tc>
          <w:tcPr>
            <w:tcW w:type="dxa" w:w="3120"/>
          </w:tcPr>
          <w:p>
            <w:r/>
            <w:r>
              <w:rPr>
                <w:b/>
                <w:sz w:val="19"/>
              </w:rPr>
              <w:t>avis avec texte</w:t>
            </w:r>
          </w:p>
        </w:tc>
        <w:tc>
          <w:tcPr>
            <w:tcW w:type="dxa" w:w="3120"/>
          </w:tcPr>
          <w:p>
            <w:r/>
            <w:r>
              <w:rPr>
                <w:b/>
                <w:sz w:val="19"/>
              </w:rPr>
              <w:t>fiches</w:t>
            </w:r>
          </w:p>
        </w:tc>
      </w:tr>
      <w:tr>
        <w:tc>
          <w:tcPr>
            <w:tcW w:type="dxa" w:w="3120"/>
          </w:tcPr>
          <w:p>
            <w:r/>
            <w:r>
              <w:rPr>
                <w:sz w:val="19"/>
              </w:rPr>
              <w:t>en</w:t>
            </w:r>
          </w:p>
        </w:tc>
        <w:tc>
          <w:tcPr>
            <w:tcW w:type="dxa" w:w="3120"/>
          </w:tcPr>
          <w:p>
            <w:pPr>
              <w:jc w:val="right"/>
            </w:pPr>
            <w:r/>
            <w:r>
              <w:rPr>
                <w:sz w:val="19"/>
              </w:rPr>
              <w:t>16 407</w:t>
            </w:r>
          </w:p>
        </w:tc>
        <w:tc>
          <w:tcPr>
            <w:tcW w:type="dxa" w:w="3120"/>
          </w:tcPr>
          <w:p>
            <w:pPr>
              <w:jc w:val="right"/>
            </w:pPr>
            <w:r/>
            <w:r>
              <w:rPr>
                <w:sz w:val="19"/>
              </w:rPr>
              <w:t>3 169</w:t>
            </w:r>
          </w:p>
        </w:tc>
      </w:tr>
      <w:tr>
        <w:tc>
          <w:tcPr>
            <w:tcW w:type="dxa" w:w="3120"/>
          </w:tcPr>
          <w:p>
            <w:r/>
            <w:r>
              <w:rPr>
                <w:sz w:val="19"/>
              </w:rPr>
              <w:t>fr</w:t>
            </w:r>
          </w:p>
        </w:tc>
        <w:tc>
          <w:tcPr>
            <w:tcW w:type="dxa" w:w="3120"/>
          </w:tcPr>
          <w:p>
            <w:pPr>
              <w:jc w:val="right"/>
            </w:pPr>
            <w:r/>
            <w:r>
              <w:rPr>
                <w:sz w:val="19"/>
              </w:rPr>
              <w:t>3 143</w:t>
            </w:r>
          </w:p>
        </w:tc>
        <w:tc>
          <w:tcPr>
            <w:tcW w:type="dxa" w:w="3120"/>
          </w:tcPr>
          <w:p>
            <w:pPr>
              <w:jc w:val="right"/>
            </w:pPr>
            <w:r/>
            <w:r>
              <w:rPr>
                <w:sz w:val="19"/>
              </w:rPr>
              <w:t>746</w:t>
            </w:r>
          </w:p>
        </w:tc>
      </w:tr>
      <w:tr>
        <w:tc>
          <w:tcPr>
            <w:tcW w:type="dxa" w:w="3120"/>
          </w:tcPr>
          <w:p>
            <w:r/>
            <w:r>
              <w:rPr>
                <w:sz w:val="19"/>
              </w:rPr>
              <w:t>de</w:t>
            </w:r>
          </w:p>
        </w:tc>
        <w:tc>
          <w:tcPr>
            <w:tcW w:type="dxa" w:w="3120"/>
          </w:tcPr>
          <w:p>
            <w:pPr>
              <w:jc w:val="right"/>
            </w:pPr>
            <w:r/>
            <w:r>
              <w:rPr>
                <w:sz w:val="19"/>
              </w:rPr>
              <w:t>2 229</w:t>
            </w:r>
          </w:p>
        </w:tc>
        <w:tc>
          <w:tcPr>
            <w:tcW w:type="dxa" w:w="3120"/>
          </w:tcPr>
          <w:p>
            <w:pPr>
              <w:jc w:val="right"/>
            </w:pPr>
            <w:r/>
            <w:r>
              <w:rPr>
                <w:sz w:val="19"/>
              </w:rPr>
              <w:t>740</w:t>
            </w:r>
          </w:p>
        </w:tc>
      </w:tr>
      <w:tr>
        <w:tc>
          <w:tcPr>
            <w:tcW w:type="dxa" w:w="3120"/>
          </w:tcPr>
          <w:p>
            <w:r/>
            <w:r>
              <w:rPr>
                <w:sz w:val="19"/>
              </w:rPr>
              <w:t>es</w:t>
            </w:r>
          </w:p>
        </w:tc>
        <w:tc>
          <w:tcPr>
            <w:tcW w:type="dxa" w:w="3120"/>
          </w:tcPr>
          <w:p>
            <w:pPr>
              <w:jc w:val="right"/>
            </w:pPr>
            <w:r/>
            <w:r>
              <w:rPr>
                <w:sz w:val="19"/>
              </w:rPr>
              <w:t>1 457</w:t>
            </w:r>
          </w:p>
        </w:tc>
        <w:tc>
          <w:tcPr>
            <w:tcW w:type="dxa" w:w="3120"/>
          </w:tcPr>
          <w:p>
            <w:pPr>
              <w:jc w:val="right"/>
            </w:pPr>
            <w:r/>
            <w:r>
              <w:rPr>
                <w:sz w:val="19"/>
              </w:rPr>
              <w:t>490</w:t>
            </w:r>
          </w:p>
        </w:tc>
      </w:tr>
      <w:tr>
        <w:tc>
          <w:tcPr>
            <w:tcW w:type="dxa" w:w="3120"/>
          </w:tcPr>
          <w:p>
            <w:r/>
            <w:r>
              <w:rPr>
                <w:sz w:val="19"/>
              </w:rPr>
              <w:t>it</w:t>
            </w:r>
          </w:p>
        </w:tc>
        <w:tc>
          <w:tcPr>
            <w:tcW w:type="dxa" w:w="3120"/>
          </w:tcPr>
          <w:p>
            <w:pPr>
              <w:jc w:val="right"/>
            </w:pPr>
            <w:r/>
            <w:r>
              <w:rPr>
                <w:sz w:val="19"/>
              </w:rPr>
              <w:t>843</w:t>
            </w:r>
          </w:p>
        </w:tc>
        <w:tc>
          <w:tcPr>
            <w:tcW w:type="dxa" w:w="3120"/>
          </w:tcPr>
          <w:p>
            <w:pPr>
              <w:jc w:val="right"/>
            </w:pPr>
            <w:r/>
            <w:r>
              <w:rPr>
                <w:sz w:val="19"/>
              </w:rPr>
              <w:t>356</w:t>
            </w:r>
          </w:p>
        </w:tc>
      </w:tr>
      <w:tr>
        <w:tc>
          <w:tcPr>
            <w:tcW w:type="dxa" w:w="3120"/>
          </w:tcPr>
          <w:p>
            <w:r/>
            <w:r>
              <w:rPr>
                <w:sz w:val="19"/>
              </w:rPr>
              <w:t>nl</w:t>
            </w:r>
          </w:p>
        </w:tc>
        <w:tc>
          <w:tcPr>
            <w:tcW w:type="dxa" w:w="3120"/>
          </w:tcPr>
          <w:p>
            <w:pPr>
              <w:jc w:val="right"/>
            </w:pPr>
            <w:r/>
            <w:r>
              <w:rPr>
                <w:sz w:val="19"/>
              </w:rPr>
              <w:t>676</w:t>
            </w:r>
          </w:p>
        </w:tc>
        <w:tc>
          <w:tcPr>
            <w:tcW w:type="dxa" w:w="3120"/>
          </w:tcPr>
          <w:p>
            <w:pPr>
              <w:jc w:val="right"/>
            </w:pPr>
            <w:r/>
            <w:r>
              <w:rPr>
                <w:sz w:val="19"/>
              </w:rPr>
              <w:t>270</w:t>
            </w:r>
          </w:p>
        </w:tc>
      </w:tr>
      <w:tr>
        <w:tc>
          <w:tcPr>
            <w:tcW w:type="dxa" w:w="3120"/>
          </w:tcPr>
          <w:p>
            <w:r/>
            <w:r>
              <w:rPr>
                <w:sz w:val="19"/>
              </w:rPr>
              <w:t>pl</w:t>
            </w:r>
          </w:p>
        </w:tc>
        <w:tc>
          <w:tcPr>
            <w:tcW w:type="dxa" w:w="3120"/>
          </w:tcPr>
          <w:p>
            <w:pPr>
              <w:jc w:val="right"/>
            </w:pPr>
            <w:r/>
            <w:r>
              <w:rPr>
                <w:sz w:val="19"/>
              </w:rPr>
              <w:t>314</w:t>
            </w:r>
          </w:p>
        </w:tc>
        <w:tc>
          <w:tcPr>
            <w:tcW w:type="dxa" w:w="3120"/>
          </w:tcPr>
          <w:p>
            <w:pPr>
              <w:jc w:val="right"/>
            </w:pPr>
            <w:r/>
            <w:r>
              <w:rPr>
                <w:sz w:val="19"/>
              </w:rPr>
              <w:t>131</w:t>
            </w:r>
          </w:p>
        </w:tc>
      </w:tr>
      <w:tr>
        <w:tc>
          <w:tcPr>
            <w:tcW w:type="dxa" w:w="3120"/>
          </w:tcPr>
          <w:p>
            <w:r/>
            <w:r>
              <w:rPr>
                <w:sz w:val="19"/>
              </w:rPr>
              <w:t>les 31 autres langues</w:t>
            </w:r>
          </w:p>
        </w:tc>
        <w:tc>
          <w:tcPr>
            <w:tcW w:type="dxa" w:w="3120"/>
          </w:tcPr>
          <w:p>
            <w:pPr>
              <w:jc w:val="right"/>
            </w:pPr>
            <w:r/>
            <w:r>
              <w:rPr>
                <w:sz w:val="19"/>
              </w:rPr>
              <w:t>1 099</w:t>
            </w:r>
          </w:p>
        </w:tc>
        <w:tc>
          <w:tcPr>
            <w:tcW w:type="dxa" w:w="3120"/>
          </w:tcPr>
          <w:p>
            <w:pPr>
              <w:jc w:val="right"/>
            </w:pPr>
            <w:r/>
            <w:r>
              <w:rPr>
                <w:sz w:val="19"/>
              </w:rPr>
            </w:r>
          </w:p>
        </w:tc>
      </w:tr>
    </w:tbl>
    <w:p/>
    <w:p>
      <w:r>
        <w:t>37,3 % des textes ne sont pas en anglais. Un modèle anglophone est exclu : il rangerait les avis par langue.</w:t>
      </w:r>
    </w:p>
    <w:p>
      <w:pPr>
        <w:pStyle w:val="Heading1"/>
      </w:pPr>
      <w:r>
        <w:t>Les comparaisons possibles</w:t>
      </w:r>
    </w:p>
    <w:p>
      <w:r>
        <w:t>La note commande le vocabulaire d'un avis. Comparer les textes supprimés à l'ensemble des autres reviendrait à comparer un corpus de 1 étoile à un corpus de 5 étoiles, et à mesurer la note. Chaque comparaison se fait donc à note égale, et à langue égale.</w:t>
      </w:r>
    </w:p>
    <w:p>
      <w:r>
        <w:t>Ce découpage réduit fortement les effectifs disponibles. Voici ce que portent les cases, hors enseignes signalées.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
              <w:rPr>
                <w:b/>
                <w:sz w:val="19"/>
              </w:rPr>
              <w:t>note</w:t>
            </w:r>
          </w:p>
        </w:tc>
        <w:tc>
          <w:tcPr>
            <w:tcW w:type="dxa" w:w="2340"/>
          </w:tcPr>
          <w:p>
            <w:r/>
            <w:r>
              <w:rPr>
                <w:b/>
                <w:sz w:val="19"/>
              </w:rPr>
              <w:t>langue</w:t>
            </w:r>
          </w:p>
        </w:tc>
        <w:tc>
          <w:tcPr>
            <w:tcW w:type="dxa" w:w="2340"/>
          </w:tcPr>
          <w:p>
            <w:r/>
            <w:r>
              <w:rPr>
                <w:b/>
                <w:sz w:val="19"/>
              </w:rPr>
              <w:t>supprimés avec texte</w:t>
            </w:r>
          </w:p>
        </w:tc>
        <w:tc>
          <w:tcPr>
            <w:tcW w:type="dxa" w:w="2340"/>
          </w:tcPr>
          <w:p>
            <w:r/>
            <w:r>
              <w:rPr>
                <w:b/>
                <w:sz w:val="19"/>
              </w:rPr>
              <w:t>restés avec texte</w:t>
            </w:r>
          </w:p>
        </w:tc>
      </w:tr>
      <w:tr>
        <w:tc>
          <w:tcPr>
            <w:tcW w:type="dxa" w:w="2340"/>
          </w:tcPr>
          <w:p>
            <w:pPr>
              <w:jc w:val="right"/>
            </w:pPr>
            <w:r/>
            <w:r>
              <w:rPr>
                <w:sz w:val="19"/>
              </w:rPr>
              <w:t>5</w:t>
            </w:r>
          </w:p>
        </w:tc>
        <w:tc>
          <w:tcPr>
            <w:tcW w:type="dxa" w:w="2340"/>
          </w:tcPr>
          <w:p>
            <w:r/>
            <w:r>
              <w:rPr>
                <w:sz w:val="19"/>
              </w:rPr>
              <w:t>en</w:t>
            </w:r>
          </w:p>
        </w:tc>
        <w:tc>
          <w:tcPr>
            <w:tcW w:type="dxa" w:w="2340"/>
          </w:tcPr>
          <w:p>
            <w:pPr>
              <w:jc w:val="right"/>
            </w:pPr>
            <w:r/>
            <w:r>
              <w:rPr>
                <w:sz w:val="19"/>
              </w:rPr>
              <w:t>373</w:t>
            </w:r>
          </w:p>
        </w:tc>
        <w:tc>
          <w:tcPr>
            <w:tcW w:type="dxa" w:w="2340"/>
          </w:tcPr>
          <w:p>
            <w:pPr>
              <w:jc w:val="right"/>
            </w:pPr>
            <w:r/>
            <w:r>
              <w:rPr>
                <w:sz w:val="19"/>
              </w:rPr>
              <w:t>11 669</w:t>
            </w:r>
          </w:p>
        </w:tc>
      </w:tr>
      <w:tr>
        <w:tc>
          <w:tcPr>
            <w:tcW w:type="dxa" w:w="2340"/>
          </w:tcPr>
          <w:p>
            <w:pPr>
              <w:jc w:val="right"/>
            </w:pPr>
            <w:r/>
            <w:r>
              <w:rPr>
                <w:sz w:val="19"/>
              </w:rPr>
              <w:t>1</w:t>
            </w:r>
          </w:p>
        </w:tc>
        <w:tc>
          <w:tcPr>
            <w:tcW w:type="dxa" w:w="2340"/>
          </w:tcPr>
          <w:p>
            <w:r/>
            <w:r>
              <w:rPr>
                <w:sz w:val="19"/>
              </w:rPr>
              <w:t>en</w:t>
            </w:r>
          </w:p>
        </w:tc>
        <w:tc>
          <w:tcPr>
            <w:tcW w:type="dxa" w:w="2340"/>
          </w:tcPr>
          <w:p>
            <w:pPr>
              <w:jc w:val="right"/>
            </w:pPr>
            <w:r/>
            <w:r>
              <w:rPr>
                <w:sz w:val="19"/>
              </w:rPr>
              <w:t>89</w:t>
            </w:r>
          </w:p>
        </w:tc>
        <w:tc>
          <w:tcPr>
            <w:tcW w:type="dxa" w:w="2340"/>
          </w:tcPr>
          <w:p>
            <w:pPr>
              <w:jc w:val="right"/>
            </w:pPr>
            <w:r/>
            <w:r>
              <w:rPr>
                <w:sz w:val="19"/>
              </w:rPr>
              <w:t>1 025</w:t>
            </w:r>
          </w:p>
        </w:tc>
      </w:tr>
      <w:tr>
        <w:tc>
          <w:tcPr>
            <w:tcW w:type="dxa" w:w="2340"/>
          </w:tcPr>
          <w:p>
            <w:pPr>
              <w:jc w:val="right"/>
            </w:pPr>
            <w:r/>
            <w:r>
              <w:rPr>
                <w:sz w:val="19"/>
              </w:rPr>
              <w:t>5</w:t>
            </w:r>
          </w:p>
        </w:tc>
        <w:tc>
          <w:tcPr>
            <w:tcW w:type="dxa" w:w="2340"/>
          </w:tcPr>
          <w:p>
            <w:r/>
            <w:r>
              <w:rPr>
                <w:sz w:val="19"/>
              </w:rPr>
              <w:t>fr</w:t>
            </w:r>
          </w:p>
        </w:tc>
        <w:tc>
          <w:tcPr>
            <w:tcW w:type="dxa" w:w="2340"/>
          </w:tcPr>
          <w:p>
            <w:pPr>
              <w:jc w:val="right"/>
            </w:pPr>
            <w:r/>
            <w:r>
              <w:rPr>
                <w:sz w:val="19"/>
              </w:rPr>
              <w:t>41</w:t>
            </w:r>
          </w:p>
        </w:tc>
        <w:tc>
          <w:tcPr>
            <w:tcW w:type="dxa" w:w="2340"/>
          </w:tcPr>
          <w:p>
            <w:pPr>
              <w:jc w:val="right"/>
            </w:pPr>
            <w:r/>
            <w:r>
              <w:rPr>
                <w:sz w:val="19"/>
              </w:rPr>
              <w:t>2 155</w:t>
            </w:r>
          </w:p>
        </w:tc>
      </w:tr>
      <w:tr>
        <w:tc>
          <w:tcPr>
            <w:tcW w:type="dxa" w:w="2340"/>
          </w:tcPr>
          <w:p>
            <w:pPr>
              <w:jc w:val="right"/>
            </w:pPr>
            <w:r/>
            <w:r>
              <w:rPr>
                <w:sz w:val="19"/>
              </w:rPr>
              <w:t>5</w:t>
            </w:r>
          </w:p>
        </w:tc>
        <w:tc>
          <w:tcPr>
            <w:tcW w:type="dxa" w:w="2340"/>
          </w:tcPr>
          <w:p>
            <w:r/>
            <w:r>
              <w:rPr>
                <w:sz w:val="19"/>
              </w:rPr>
              <w:t>de</w:t>
            </w:r>
          </w:p>
        </w:tc>
        <w:tc>
          <w:tcPr>
            <w:tcW w:type="dxa" w:w="2340"/>
          </w:tcPr>
          <w:p>
            <w:pPr>
              <w:jc w:val="right"/>
            </w:pPr>
            <w:r/>
            <w:r>
              <w:rPr>
                <w:sz w:val="19"/>
              </w:rPr>
              <w:t>37</w:t>
            </w:r>
          </w:p>
        </w:tc>
        <w:tc>
          <w:tcPr>
            <w:tcW w:type="dxa" w:w="2340"/>
          </w:tcPr>
          <w:p>
            <w:pPr>
              <w:jc w:val="right"/>
            </w:pPr>
            <w:r/>
            <w:r>
              <w:rPr>
                <w:sz w:val="19"/>
              </w:rPr>
              <w:t>1 511</w:t>
            </w:r>
          </w:p>
        </w:tc>
      </w:tr>
      <w:tr>
        <w:tc>
          <w:tcPr>
            <w:tcW w:type="dxa" w:w="2340"/>
          </w:tcPr>
          <w:p>
            <w:pPr>
              <w:jc w:val="right"/>
            </w:pPr>
            <w:r/>
            <w:r>
              <w:rPr>
                <w:sz w:val="19"/>
              </w:rPr>
              <w:t>5</w:t>
            </w:r>
          </w:p>
        </w:tc>
        <w:tc>
          <w:tcPr>
            <w:tcW w:type="dxa" w:w="2340"/>
          </w:tcPr>
          <w:p>
            <w:r/>
            <w:r>
              <w:rPr>
                <w:sz w:val="19"/>
              </w:rPr>
              <w:t>es</w:t>
            </w:r>
          </w:p>
        </w:tc>
        <w:tc>
          <w:tcPr>
            <w:tcW w:type="dxa" w:w="2340"/>
          </w:tcPr>
          <w:p>
            <w:pPr>
              <w:jc w:val="right"/>
            </w:pPr>
            <w:r/>
            <w:r>
              <w:rPr>
                <w:sz w:val="19"/>
              </w:rPr>
              <w:t>27</w:t>
            </w:r>
          </w:p>
        </w:tc>
        <w:tc>
          <w:tcPr>
            <w:tcW w:type="dxa" w:w="2340"/>
          </w:tcPr>
          <w:p>
            <w:pPr>
              <w:jc w:val="right"/>
            </w:pPr>
            <w:r/>
            <w:r>
              <w:rPr>
                <w:sz w:val="19"/>
              </w:rPr>
              <w:t>959</w:t>
            </w:r>
          </w:p>
        </w:tc>
      </w:tr>
      <w:tr>
        <w:tc>
          <w:tcPr>
            <w:tcW w:type="dxa" w:w="2340"/>
          </w:tcPr>
          <w:p>
            <w:pPr>
              <w:jc w:val="right"/>
            </w:pPr>
            <w:r/>
            <w:r>
              <w:rPr>
                <w:sz w:val="19"/>
              </w:rPr>
              <w:t>1</w:t>
            </w:r>
          </w:p>
        </w:tc>
        <w:tc>
          <w:tcPr>
            <w:tcW w:type="dxa" w:w="2340"/>
          </w:tcPr>
          <w:p>
            <w:r/>
            <w:r>
              <w:rPr>
                <w:sz w:val="19"/>
              </w:rPr>
              <w:t>fr</w:t>
            </w:r>
          </w:p>
        </w:tc>
        <w:tc>
          <w:tcPr>
            <w:tcW w:type="dxa" w:w="2340"/>
          </w:tcPr>
          <w:p>
            <w:pPr>
              <w:jc w:val="right"/>
            </w:pPr>
            <w:r/>
            <w:r>
              <w:rPr>
                <w:sz w:val="19"/>
              </w:rPr>
              <w:t>24</w:t>
            </w:r>
          </w:p>
        </w:tc>
        <w:tc>
          <w:tcPr>
            <w:tcW w:type="dxa" w:w="2340"/>
          </w:tcPr>
          <w:p>
            <w:pPr>
              <w:jc w:val="right"/>
            </w:pPr>
            <w:r/>
            <w:r>
              <w:rPr>
                <w:sz w:val="19"/>
              </w:rPr>
              <w:t>298</w:t>
            </w:r>
          </w:p>
        </w:tc>
      </w:tr>
      <w:tr>
        <w:tc>
          <w:tcPr>
            <w:tcW w:type="dxa" w:w="2340"/>
          </w:tcPr>
          <w:p>
            <w:pPr>
              <w:jc w:val="right"/>
            </w:pPr>
            <w:r/>
            <w:r>
              <w:rPr>
                <w:sz w:val="19"/>
              </w:rPr>
              <w:t>4</w:t>
            </w:r>
          </w:p>
        </w:tc>
        <w:tc>
          <w:tcPr>
            <w:tcW w:type="dxa" w:w="2340"/>
          </w:tcPr>
          <w:p>
            <w:r/>
            <w:r>
              <w:rPr>
                <w:sz w:val="19"/>
              </w:rPr>
              <w:t>en</w:t>
            </w:r>
          </w:p>
        </w:tc>
        <w:tc>
          <w:tcPr>
            <w:tcW w:type="dxa" w:w="2340"/>
          </w:tcPr>
          <w:p>
            <w:pPr>
              <w:jc w:val="right"/>
            </w:pPr>
            <w:r/>
            <w:r>
              <w:rPr>
                <w:sz w:val="19"/>
              </w:rPr>
              <w:t>15</w:t>
            </w:r>
          </w:p>
        </w:tc>
        <w:tc>
          <w:tcPr>
            <w:tcW w:type="dxa" w:w="2340"/>
          </w:tcPr>
          <w:p>
            <w:pPr>
              <w:jc w:val="right"/>
            </w:pPr>
            <w:r/>
            <w:r>
              <w:rPr>
                <w:sz w:val="19"/>
              </w:rPr>
              <w:t>723</w:t>
            </w:r>
          </w:p>
        </w:tc>
      </w:tr>
    </w:tbl>
    <w:p/>
    <w:p>
      <w:r>
        <w:t>Deux cases seulement portent assez d'avis supprimés pour une comparaison solide : 5 étoiles en anglais et 1 étoile en anglais. Une troisième tient en rassemblant les avis 5 étoiles qui ne sont pas en anglais, à condition de vérifier que la composition par langue est la même des deux côtés. Les notes 2 et 3 sortent du champ : 23 et 9 avis supprimés en tout.</w:t>
      </w:r>
    </w:p>
    <w:p>
      <w:pPr>
        <w:pStyle w:val="Heading1"/>
      </w:pPr>
      <w:r>
        <w:t>Comment les textes sont encodés</w:t>
      </w:r>
    </w:p>
    <w:p>
      <w:r>
        <w:t>Tout se passe sur la machine de travail. Aucun texte ne sort, aucun service extérieur n'est appelé. Les textes contiennent le nom de leur auteur et le fichier de licence de l'export en interdit la rediffusion.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b/>
                <w:sz w:val="19"/>
              </w:rPr>
              <w:t>réglage</w:t>
            </w:r>
          </w:p>
        </w:tc>
        <w:tc>
          <w:tcPr>
            <w:tcW w:type="dxa" w:w="3120"/>
          </w:tcPr>
          <w:p>
            <w:r/>
            <w:r>
              <w:rPr>
                <w:b/>
                <w:sz w:val="19"/>
              </w:rPr>
              <w:t>valeur</w:t>
            </w:r>
          </w:p>
        </w:tc>
        <w:tc>
          <w:tcPr>
            <w:tcW w:type="dxa" w:w="3120"/>
          </w:tcPr>
          <w:p>
            <w:r/>
            <w:r>
              <w:rPr>
                <w:b/>
                <w:sz w:val="19"/>
              </w:rPr>
              <w:t>pourquoi</w:t>
            </w:r>
          </w:p>
        </w:tc>
      </w:tr>
      <w:tr>
        <w:tc>
          <w:tcPr>
            <w:tcW w:type="dxa" w:w="3120"/>
          </w:tcPr>
          <w:p>
            <w:r/>
            <w:r>
              <w:rPr>
                <w:sz w:val="19"/>
              </w:rPr>
              <w:t>modèle</w:t>
            </w:r>
          </w:p>
        </w:tc>
        <w:tc>
          <w:tcPr>
            <w:tcW w:type="dxa" w:w="3120"/>
          </w:tcPr>
          <w:p>
            <w:r/>
            <w:r>
              <w:rPr>
                <w:sz w:val="19"/>
              </w:rPr>
              <w:t>intfloat/multilingual-e5-base</w:t>
            </w:r>
          </w:p>
        </w:tc>
        <w:tc>
          <w:tcPr>
            <w:tcW w:type="dxa" w:w="3120"/>
          </w:tcPr>
          <w:p>
            <w:r/>
            <w:r>
              <w:rPr>
                <w:sz w:val="19"/>
              </w:rPr>
              <w:t>multilingue, 768 nombres par avis ; plus de 100 langues rangées dans le même espace, ce qui permet de comparer un avis espagnol à un avis anglais</w:t>
            </w:r>
          </w:p>
        </w:tc>
      </w:tr>
      <w:tr>
        <w:tc>
          <w:tcPr>
            <w:tcW w:type="dxa" w:w="3120"/>
          </w:tcPr>
          <w:p>
            <w:r/>
            <w:r>
              <w:rPr>
                <w:sz w:val="19"/>
              </w:rPr>
              <w:t>longueur maximale</w:t>
            </w:r>
          </w:p>
        </w:tc>
        <w:tc>
          <w:tcPr>
            <w:tcW w:type="dxa" w:w="3120"/>
          </w:tcPr>
          <w:p>
            <w:r/>
            <w:r>
              <w:rPr>
                <w:sz w:val="19"/>
              </w:rPr>
              <w:t>512 fragments</w:t>
            </w:r>
          </w:p>
        </w:tc>
        <w:tc>
          <w:tcPr>
            <w:tcW w:type="dxa" w:w="3120"/>
          </w:tcPr>
          <w:p>
            <w:r/>
            <w:r>
              <w:rPr>
                <w:sz w:val="19"/>
              </w:rPr>
              <w:t>la valeur du modèle. Couper à 256 tronquerait environ 3 textes sur 100, et plus souvent du côté des supprimés, qui sont plus longs</w:t>
            </w:r>
          </w:p>
        </w:tc>
      </w:tr>
      <w:tr>
        <w:tc>
          <w:tcPr>
            <w:tcW w:type="dxa" w:w="3120"/>
          </w:tcPr>
          <w:p>
            <w:r/>
            <w:r>
              <w:rPr>
                <w:sz w:val="19"/>
              </w:rPr>
              <w:t>préfixe</w:t>
            </w:r>
          </w:p>
        </w:tc>
        <w:tc>
          <w:tcPr>
            <w:tcW w:type="dxa" w:w="3120"/>
          </w:tcPr>
          <w:p>
            <w:r/>
            <w:r>
              <w:rPr>
                <w:sz w:val="19"/>
              </w:rPr>
              <w:t>« query: »</w:t>
            </w:r>
          </w:p>
        </w:tc>
        <w:tc>
          <w:tcPr>
            <w:tcW w:type="dxa" w:w="3120"/>
          </w:tcPr>
          <w:p>
            <w:r/>
            <w:r>
              <w:rPr>
                <w:sz w:val="19"/>
              </w:rPr>
              <w:t>demandé par ce modèle des deux côtés d'une comparaison</w:t>
            </w:r>
          </w:p>
        </w:tc>
      </w:tr>
      <w:tr>
        <w:tc>
          <w:tcPr>
            <w:tcW w:type="dxa" w:w="3120"/>
          </w:tcPr>
          <w:p>
            <w:r/>
            <w:r>
              <w:rPr>
                <w:sz w:val="19"/>
              </w:rPr>
              <w:t>vecteurs ramenés à la même échelle</w:t>
            </w:r>
          </w:p>
        </w:tc>
        <w:tc>
          <w:tcPr>
            <w:tcW w:type="dxa" w:w="3120"/>
          </w:tcPr>
          <w:p>
            <w:r/>
            <w:r>
              <w:rPr>
                <w:sz w:val="19"/>
              </w:rPr>
              <w:t>oui</w:t>
            </w:r>
          </w:p>
        </w:tc>
        <w:tc>
          <w:tcPr>
            <w:tcW w:type="dxa" w:w="3120"/>
          </w:tcPr>
          <w:p>
            <w:r/>
            <w:r>
              <w:rPr>
                <w:sz w:val="19"/>
              </w:rPr>
              <w:t>la proximité entre deux avis se lit alors directement</w:t>
            </w:r>
          </w:p>
        </w:tc>
      </w:tr>
      <w:tr>
        <w:tc>
          <w:tcPr>
            <w:tcW w:type="dxa" w:w="3120"/>
          </w:tcPr>
          <w:p>
            <w:r/>
            <w:r>
              <w:rPr>
                <w:sz w:val="19"/>
              </w:rPr>
              <w:t>taille des lots</w:t>
            </w:r>
          </w:p>
        </w:tc>
        <w:tc>
          <w:tcPr>
            <w:tcW w:type="dxa" w:w="3120"/>
          </w:tcPr>
          <w:p>
            <w:r/>
            <w:r>
              <w:rPr>
                <w:sz w:val="19"/>
              </w:rPr>
              <w:t>32 textes</w:t>
            </w:r>
          </w:p>
        </w:tc>
        <w:tc>
          <w:tcPr>
            <w:tcW w:type="dxa" w:w="3120"/>
          </w:tcPr>
          <w:p>
            <w:r/>
            <w:r>
              <w:rPr>
                <w:sz w:val="19"/>
              </w:rPr>
              <w:t>tient dans la mémoire disponible</w:t>
            </w:r>
          </w:p>
        </w:tc>
      </w:tr>
      <w:tr>
        <w:tc>
          <w:tcPr>
            <w:tcW w:type="dxa" w:w="3120"/>
          </w:tcPr>
          <w:p>
            <w:r/>
            <w:r>
              <w:rPr>
                <w:sz w:val="19"/>
              </w:rPr>
              <w:t>fils d'exécution</w:t>
            </w:r>
          </w:p>
        </w:tc>
        <w:tc>
          <w:tcPr>
            <w:tcW w:type="dxa" w:w="3120"/>
          </w:tcPr>
          <w:p>
            <w:r/>
            <w:r>
              <w:rPr>
                <w:sz w:val="19"/>
              </w:rPr>
              <w:t>8 sur 14</w:t>
            </w:r>
          </w:p>
        </w:tc>
        <w:tc>
          <w:tcPr>
            <w:tcW w:type="dxa" w:w="3120"/>
          </w:tcPr>
          <w:p>
            <w:r/>
            <w:r>
              <w:rPr>
                <w:sz w:val="19"/>
              </w:rPr>
              <w:t>laisse la machine utilisable pendant le calcul</w:t>
            </w:r>
          </w:p>
        </w:tc>
      </w:tr>
    </w:tbl>
    <w:p/>
    <w:p>
      <w:r>
        <w:t>Les textes sont triés par longueur avant l'encodage, puis remis dans leur ordre d'origine. Un lot ne contient alors que des textes de taille voisine, ce qui évite de traiter un avis de vingt mots comme un avis de cinq cents.</w:t>
      </w:r>
    </w:p>
    <w:p>
      <w:r>
        <w:t>Le résultat est stocké hors du dépôt, dans data/embeddings/, avec l'identifiant de l'avis, sa note, sa langue, sa longueur et son sort. Aucun texte, aucun nom d'auteur, aucun lien d'avis.</w:t>
      </w:r>
    </w:p>
    <w:p>
      <w:pPr>
        <w:pStyle w:val="Heading2"/>
      </w:pPr>
      <w:r>
        <w:t>Une précision sur le repérage des chaînes</w:t>
      </w:r>
    </w:p>
    <w:p>
      <w:r>
        <w:t>Le repérage des quatre chaînes antiparasitaires utilisé par le reste du projet compare le nom de la fiche à quatre libellés exacts. Il attrape 85 fiches et laisse passer 10 succursales nommées « EcoShield Pest Solutions Houston », « Bulwark Exterminating Corporate » et ainsi de suite, qui portent 342 avis et 9 suppressions. Pour cette étude, le repérage se fait sur le début du nom, ce qui attrape les 95 fiches. Le drapeau du projet n'est pas modifié.</w:t>
      </w:r>
    </w:p>
    <w:p>
      <w:pPr>
        <w:pStyle w:val="Heading1"/>
      </w:pPr>
      <w:r>
        <w:t>Ce que montrent les groupes de textes</w:t>
      </w:r>
    </w:p>
    <w:p>
      <w:r>
        <w:rPr>
          <w:i/>
          <w:color w:val="52514E"/>
        </w:rPr>
        <w:t>[À COMPLÉTER] Regroupement des avis par ce qu'ils racontent, puis part supprimée dans chaque groupe. Chaque groupe sera décrit par son effectif, sa part supprimée, sa langue dominante, sa répartition des notes, sa longueur moyenne et son nombre de fiches. Les deux dernières colonnes sont les garde-fous : un groupe très supprimé porté par trois fiches est une enseigne, et un groupe dont toutes les notes valent 1 est une note.</w:t>
      </w:r>
    </w:p>
    <w:p>
      <w:pPr>
        <w:pStyle w:val="Heading1"/>
      </w:pPr>
      <w:r>
        <w:t>L'écart entre les deux populations, à note égale</w:t>
      </w:r>
    </w:p>
    <w:p>
      <w:r>
        <w:rPr>
          <w:i/>
          <w:color w:val="52514E"/>
        </w:rPr>
        <w:t>[À COMPLÉTER] Pour chaque case retenue, distance entre le centre des textes supprimés et le centre des textes restés en ligne, comparée à la distance obtenue en tirant au hasard deux groupes de mêmes tailles dans la même case. Si la distance observée tombe dans l'intervalle du tirage, les textes supprimés ne se distinguent pas des autres, et c'est une réponse.</w:t>
      </w:r>
    </w:p>
    <w:p>
      <w:pPr>
        <w:pStyle w:val="Heading1"/>
      </w:pPr>
      <w:r>
        <w:t>Pour aller plus loin</w:t>
      </w:r>
    </w:p>
    <w:p>
      <w:r>
        <w:t>Deux prolongements sont identifiés et laissés de côté pour l'instant.</w:t>
      </w:r>
    </w:p>
    <w:p>
      <w:pPr>
        <w:pStyle w:val="Heading2"/>
      </w:pPr>
      <w:r>
        <w:t>Mesurer combien le texte pèse, à lui seul</w:t>
      </w:r>
    </w:p>
    <w:p>
      <w:r>
        <w:t>Un modèle nourri des seuls 768 nombres, sans la note ni l'âge ni le profil de l'auteur, dirait combien le texte permet de séparer les deux populations. Il repose sur 698 avis supprimés hors enseignes, avec une mise de côté par fiche et par auteur : le jeu d'essai porterait environ 140 avis supprimés. La marge d'incertitude serait large. Cette route attend un panel plus fourni ou une fenêtre de suivi plus longue.</w:t>
      </w:r>
    </w:p>
    <w:p>
      <w:pPr>
        <w:pStyle w:val="Heading2"/>
      </w:pPr>
      <w:r>
        <w:t>Repérer les textes écrits sur un même gabarit</w:t>
      </w:r>
    </w:p>
    <w:p>
      <w:r>
        <w:t>Deux avis très proches l'un de l'autre sur une même fiche, ou sur deux succursales d'une même enseigne, signalent un texte fabriqué à partir d'un modèle. Cette piste vise directement les chaînes antiparasitaires, qui portent une suppression sur trois du panel et dont les textes nomment très souvent un technicien.</w:t>
      </w:r>
    </w:p>
    <w:p>
      <w:r>
        <w:t>La recherche de textes identiques figure dans la liste des constructions écartées du backlog. La rouvrir demande un accord préalable de Romain. L'élément nouveau à lui soumettre est le poids de ces quatre enseignes dans les suppressions du panel.</w:t>
      </w:r>
    </w:p>
    <w:p>
      <w:pPr>
        <w:pStyle w:val="Heading1"/>
      </w:pPr>
      <w:r>
        <w:t>Où sont les chiffres</w:t>
      </w:r>
    </w:p>
    <w:tbl>
      <w:tblPr>
        <w:tblStyle w:val="TableGrid"/>
        <w:tblW w:type="auto" w:w="0"/>
        <w:jc w:val="center"/>
        <w:tblLook w:firstColumn="1" w:firstRow="1" w:lastColumn="0" w:lastRow="0" w:noHBand="0" w:noVBand="1" w:val="04A0"/>
      </w:tblPr>
      <w:tblGrid>
        <w:gridCol w:w="4680"/>
        <w:gridCol w:w="4680"/>
      </w:tblGrid>
      <w:tr>
        <w:tc>
          <w:tcPr>
            <w:tcW w:type="dxa" w:w="4680"/>
          </w:tcPr>
          <w:p>
            <w:r/>
            <w:r>
              <w:rPr>
                <w:b/>
                <w:sz w:val="19"/>
              </w:rPr>
              <w:t>contenu</w:t>
            </w:r>
          </w:p>
        </w:tc>
        <w:tc>
          <w:tcPr>
            <w:tcW w:type="dxa" w:w="4680"/>
          </w:tcPr>
          <w:p>
            <w:r/>
            <w:r>
              <w:rPr>
                <w:b/>
                <w:sz w:val="19"/>
              </w:rPr>
              <w:t>fichier</w:t>
            </w:r>
          </w:p>
        </w:tc>
      </w:tr>
      <w:tr>
        <w:tc>
          <w:tcPr>
            <w:tcW w:type="dxa" w:w="4680"/>
          </w:tcPr>
          <w:p>
            <w:r/>
            <w:r>
              <w:rPr>
                <w:sz w:val="19"/>
              </w:rPr>
              <w:t>effectifs de la population texte</w:t>
            </w:r>
          </w:p>
        </w:tc>
        <w:tc>
          <w:tcPr>
            <w:tcW w:type="dxa" w:w="4680"/>
          </w:tcPr>
          <w:p>
            <w:r/>
            <w:r>
              <w:rPr>
                <w:sz w:val="19"/>
              </w:rPr>
              <w:t>sorties/2026-09-21-A1-effectifs-textes.csv</w:t>
            </w:r>
          </w:p>
        </w:tc>
      </w:tr>
      <w:tr>
        <w:tc>
          <w:tcPr>
            <w:tcW w:type="dxa" w:w="4680"/>
          </w:tcPr>
          <w:p>
            <w:r/>
            <w:r>
              <w:rPr>
                <w:sz w:val="19"/>
              </w:rPr>
              <w:t>par note</w:t>
            </w:r>
          </w:p>
        </w:tc>
        <w:tc>
          <w:tcPr>
            <w:tcW w:type="dxa" w:w="4680"/>
          </w:tcPr>
          <w:p>
            <w:r/>
            <w:r>
              <w:rPr>
                <w:sz w:val="19"/>
              </w:rPr>
              <w:t>sorties/2026-09-21-A2-par-note.csv</w:t>
            </w:r>
          </w:p>
        </w:tc>
      </w:tr>
      <w:tr>
        <w:tc>
          <w:tcPr>
            <w:tcW w:type="dxa" w:w="4680"/>
          </w:tcPr>
          <w:p>
            <w:r/>
            <w:r>
              <w:rPr>
                <w:sz w:val="19"/>
              </w:rPr>
              <w:t>par langue</w:t>
            </w:r>
          </w:p>
        </w:tc>
        <w:tc>
          <w:tcPr>
            <w:tcW w:type="dxa" w:w="4680"/>
          </w:tcPr>
          <w:p>
            <w:r/>
            <w:r>
              <w:rPr>
                <w:sz w:val="19"/>
              </w:rPr>
              <w:t>sorties/2026-09-21-A3-par-langue.csv</w:t>
            </w:r>
          </w:p>
        </w:tc>
      </w:tr>
      <w:tr>
        <w:tc>
          <w:tcPr>
            <w:tcW w:type="dxa" w:w="4680"/>
          </w:tcPr>
          <w:p>
            <w:r/>
            <w:r>
              <w:rPr>
                <w:sz w:val="19"/>
              </w:rPr>
              <w:t>longueurs</w:t>
            </w:r>
          </w:p>
        </w:tc>
        <w:tc>
          <w:tcPr>
            <w:tcW w:type="dxa" w:w="4680"/>
          </w:tcPr>
          <w:p>
            <w:r/>
            <w:r>
              <w:rPr>
                <w:sz w:val="19"/>
              </w:rPr>
              <w:t>sorties/2026-09-21-A4-longueurs.csv</w:t>
            </w:r>
          </w:p>
        </w:tc>
      </w:tr>
      <w:tr>
        <w:tc>
          <w:tcPr>
            <w:tcW w:type="dxa" w:w="4680"/>
          </w:tcPr>
          <w:p>
            <w:r/>
            <w:r>
              <w:rPr>
                <w:sz w:val="19"/>
              </w:rPr>
              <w:t>poids des enseignes</w:t>
            </w:r>
          </w:p>
        </w:tc>
        <w:tc>
          <w:tcPr>
            <w:tcW w:type="dxa" w:w="4680"/>
          </w:tcPr>
          <w:p>
            <w:r/>
            <w:r>
              <w:rPr>
                <w:sz w:val="19"/>
              </w:rPr>
              <w:t>sorties/2026-09-21-A5-enseignes.csv</w:t>
            </w:r>
          </w:p>
        </w:tc>
      </w:tr>
      <w:tr>
        <w:tc>
          <w:tcPr>
            <w:tcW w:type="dxa" w:w="4680"/>
          </w:tcPr>
          <w:p>
            <w:r/>
            <w:r>
              <w:rPr>
                <w:sz w:val="19"/>
              </w:rPr>
              <w:t>cases note et langue</w:t>
            </w:r>
          </w:p>
        </w:tc>
        <w:tc>
          <w:tcPr>
            <w:tcW w:type="dxa" w:w="4680"/>
          </w:tcPr>
          <w:p>
            <w:r/>
            <w:r>
              <w:rPr>
                <w:sz w:val="19"/>
              </w:rPr>
              <w:t>sorties/2026-09-21-A6-cases-note-langue.csv</w:t>
            </w:r>
          </w:p>
        </w:tc>
      </w:tr>
      <w:tr>
        <w:tc>
          <w:tcPr>
            <w:tcW w:type="dxa" w:w="4680"/>
          </w:tcPr>
          <w:p>
            <w:r/>
            <w:r>
              <w:rPr>
                <w:sz w:val="19"/>
              </w:rPr>
              <w:t>comptage</w:t>
            </w:r>
          </w:p>
        </w:tc>
        <w:tc>
          <w:tcPr>
            <w:tcW w:type="dxa" w:w="4680"/>
          </w:tcPr>
          <w:p>
            <w:r/>
            <w:r>
              <w:rPr>
                <w:sz w:val="19"/>
              </w:rPr>
              <w:t>etudes-ponctuelles/2026-09-21-texte-embedding-03B/00_effectifs.py</w:t>
            </w:r>
          </w:p>
        </w:tc>
      </w:tr>
      <w:tr>
        <w:tc>
          <w:tcPr>
            <w:tcW w:type="dxa" w:w="4680"/>
          </w:tcPr>
          <w:p>
            <w:r/>
            <w:r>
              <w:rPr>
                <w:sz w:val="19"/>
              </w:rPr>
              <w:t>encodage</w:t>
            </w:r>
          </w:p>
        </w:tc>
        <w:tc>
          <w:tcPr>
            <w:tcW w:type="dxa" w:w="4680"/>
          </w:tcPr>
          <w:p>
            <w:r/>
            <w:r>
              <w:rPr>
                <w:sz w:val="19"/>
              </w:rPr>
              <w:t>etudes-ponctuelles/2026-09-21-texte-embedding-03B/01_embedding.py</w:t>
            </w:r>
          </w:p>
        </w:tc>
      </w:tr>
      <w:tr>
        <w:tc>
          <w:tcPr>
            <w:tcW w:type="dxa" w:w="4680"/>
          </w:tcPr>
          <w:p>
            <w:r/>
            <w:r>
              <w:rPr>
                <w:sz w:val="19"/>
              </w:rPr>
              <w:t>ce document</w:t>
            </w:r>
          </w:p>
        </w:tc>
        <w:tc>
          <w:tcPr>
            <w:tcW w:type="dxa" w:w="4680"/>
          </w:tcPr>
          <w:p>
            <w:r/>
            <w:r>
              <w:rPr>
                <w:sz w:val="19"/>
              </w:rPr>
              <w:t>etudes-ponctuelles/2026-09-21-texte-embedding-03B/rapport.py</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