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Trois pistes pour aller plus loin</w:t>
      </w:r>
    </w:p>
    <w:p>
      <w:r>
        <w:rPr>
          <w:i/>
          <w:color w:val="52514E"/>
          <w:sz w:val="21"/>
        </w:rPr>
        <w:t>ReviewFlowz — suppressions d'avis Google — 18 septembre 2026 — note d'arbitrage, aucun calcul lancé</w:t>
      </w:r>
    </w:p>
    <w:p>
      <w:pPr>
        <w:pStyle w:val="Heading1"/>
      </w:pPr>
      <w:r>
        <w:t>Ce qu'il faut retenir</w:t>
      </w:r>
    </w:p>
    <w:p>
      <w:pPr>
        <w:pStyle w:val="ListBullet"/>
      </w:pPr>
      <w:r>
        <w:t>La réponse du propriétaire est à traiter en premier. Coût faible, c'est la question du client d'Axel, et la réserve qui affaiblit le résultat actuel se referme avec les données en main.</w:t>
      </w:r>
    </w:p>
    <w:p>
      <w:pPr>
        <w:pStyle w:val="ListBullet"/>
      </w:pPr>
      <w:r>
        <w:t>Les textes qui se ressemblent forment la piste la plus prometteuse, à une condition : comparer les avis à l'intérieur d'une même fiche. Comparés globalement, ils produiront des marqueurs faux.</w:t>
      </w:r>
    </w:p>
    <w:p>
      <w:pPr>
        <w:pStyle w:val="ListBullet"/>
      </w:pPr>
      <w:r>
        <w:t>L'embedding est un bon outil de recherche au service de la piste précédente. Ajouté comme colonnes au modèle, le gain attendu est proche de zéro.</w:t>
      </w:r>
    </w:p>
    <w:p>
      <w:pPr>
        <w:pStyle w:val="ListBullet"/>
      </w:pPr>
      <w:r>
        <w:t>Les deux premières pistes reposent sur le même montage, la comparaison entre avis d'une même fiche. Construit une fois, il sert les deux.</w:t>
      </w:r>
    </w:p>
    <w:p>
      <w:pPr>
        <w:pStyle w:val="Heading1"/>
      </w:pPr>
      <w:r>
        <w:t>Pourquoi on cherche autre chose</w:t>
      </w:r>
    </w:p>
    <w:p>
      <w:r>
        <w:t>Présenté avec un avis supprimé et un avis resté en ligne tirés au hasard, le modèle actuel donne le score le plus élevé au bon dans 86 % des cas. Sans l'âge de l'avis, qui sert de correction et non de résultat, il tombe à 72 %.</w:t>
      </w:r>
    </w:p>
    <w:p>
      <w:r>
        <w:t>Un modèle d'arbres de décision nourri du texte des avis donne 86,6 % sur le même corpus, et exactement le même chiffre que la régression une fois les six enseignes signalées retirées. Le plafond vient donc des colonnes disponibles. Changer d'algorithme n'apporte plus rien.</w:t>
      </w:r>
    </w:p>
    <w:p>
      <w:r>
        <w:rPr>
          <w:i/>
          <w:color w:val="52514E"/>
          <w:sz w:val="21"/>
        </w:rPr>
        <w:t>Sources : docs/03-resultats.md § 6 et output-study/2026-09-16-interpretation-controle-xgboost.md § 1.A</w:t>
      </w:r>
    </w:p>
    <w:p>
      <w:pPr>
        <w:pStyle w:val="Heading1"/>
      </w:pPr>
      <w:r>
        <w:t>Piste 1 — Transformer les textes en nombres (embedding)</w:t>
      </w:r>
    </w:p>
    <w:p>
      <w:r>
        <w:t>Le principe : chaque texte d'avis devient une suite de nombres qui rapproche les textes de sens voisin, quelle que soit la langue.</w:t>
      </w:r>
    </w:p>
    <w:p>
      <w:r>
        <w:rPr>
          <w:b/>
        </w:rPr>
        <w:t>Verdict : bon outil de recherche, mauvais ajout au modèle.</w:t>
      </w:r>
    </w:p>
    <w:p>
      <w:pPr>
        <w:spacing w:before="120" w:after="40"/>
      </w:pPr>
      <w:r>
        <w:rPr>
          <w:b/>
          <w:sz w:val="21"/>
        </w:rPr>
        <w:t>Pourquoi c'est une mauvaise idée comme entrée du modèle</w:t>
      </w:r>
    </w:p>
    <w:p>
      <w:pPr>
        <w:pStyle w:val="ListBullet"/>
      </w:pPr>
      <w:r>
        <w:t>Le test voisin a déjà été passé le 16 septembre. Un modèle d'arbres nourri de 50 mots tirés du texte classe correctement 86,6 % des paires, contre 86,0 % pour la régression sans aucun texte. Une fois les six enseignes retirées, les deux donnent exactement le même chiffre.</w:t>
      </w:r>
    </w:p>
    <w:p>
      <w:pPr>
        <w:pStyle w:val="ListBullet"/>
      </w:pPr>
      <w:r>
        <w:t>30 % des avis supprimés n'ont aucun texte. Une piste qui laisse de côté le tiers de la cible ne peut pas porter l'étude.</w:t>
      </w:r>
    </w:p>
    <w:p>
      <w:pPr>
        <w:pStyle w:val="ListBullet"/>
      </w:pPr>
      <w:r>
        <w:t>Un embedding encode la langue, le registre et le vocabulaire de métier. Sur un corpus où le secteur et la région dominent, il réapprendra « services à domicile, en anglais » et affichera un bon score sans rien expliquer. Le projet a déjà connu cette erreur avec la variable de langue étrangère, qui mesurait en réalité le tourisme.</w:t>
      </w:r>
    </w:p>
    <w:p>
      <w:pPr>
        <w:pStyle w:val="ListBullet"/>
      </w:pPr>
      <w:r>
        <w:t>S'il fait beaucoup monter le score, c'est le signe qu'il relit le secteur. Le seul montage où un gain serait interprétable est la comparaison entre avis d'une même fiche, où le secteur et le pays s'annulent.</w:t>
      </w:r>
    </w:p>
    <w:p>
      <w:pPr>
        <w:spacing w:before="120" w:after="40"/>
      </w:pPr>
      <w:r>
        <w:rPr>
          <w:b/>
          <w:sz w:val="21"/>
        </w:rPr>
        <w:t>Pourquoi c'est une bonne idée comme outil</w:t>
      </w:r>
    </w:p>
    <w:p>
      <w:pPr>
        <w:pStyle w:val="ListBullet"/>
      </w:pPr>
      <w:r>
        <w:t>Regrouper les avis supprimés par ressemblance et décrire les paquets obtenus, ce qui donne une typologie lisible.</w:t>
      </w:r>
    </w:p>
    <w:p>
      <w:pPr>
        <w:pStyle w:val="ListBullet"/>
      </w:pPr>
      <w:r>
        <w:t>Retrouver, pour un avis supprimé, les avis restés en ligne qui lui ressemblent le plus. C'est le cœur de la piste 2.</w:t>
      </w:r>
    </w:p>
    <w:p>
      <w:pPr>
        <w:pStyle w:val="ListBullet"/>
      </w:pPr>
      <w:r>
        <w:t>Repérer les gabarits — même structure, mots différents — que la recherche de doublons exacts laisse passer.</w:t>
      </w:r>
    </w:p>
    <w:p>
      <w:pPr>
        <w:spacing w:before="120" w:after="40"/>
      </w:pPr>
      <w:r>
        <w:rPr>
          <w:b/>
          <w:sz w:val="21"/>
        </w:rPr>
        <w:t>Une contrainte pratique</w:t>
      </w:r>
    </w:p>
    <w:p>
      <w:r>
        <w:t>Le fichier de licence de l'export interdit la rediffusion des données, et les textes d'avis sont des données personnelles. Passer 226 000 textes dans un service extérieur revient à les transmettre à un tiers. Le calcul doit se faire avec un modèle installé sur la machine, ce qui demande quelques heures.</w:t>
      </w:r>
    </w:p>
    <w:p>
      <w:pPr>
        <w:pStyle w:val="Heading1"/>
      </w:pPr>
      <w:r>
        <w:t>Piste 2 — Comparer les textes supprimés aux textes restés en ligne</w:t>
      </w:r>
    </w:p>
    <w:p>
      <w:r>
        <w:rPr>
          <w:b/>
        </w:rPr>
        <w:t>Verdict : la plus prometteuse des trois. Tout se joue sur le périmètre de comparaison.</w:t>
      </w:r>
    </w:p>
    <w:p>
      <w:pPr>
        <w:spacing w:before="120" w:after="40"/>
      </w:pPr>
      <w:r>
        <w:rPr>
          <w:b/>
          <w:sz w:val="21"/>
        </w:rPr>
        <w:t>Pourquoi c'est une bonne idée</w:t>
      </w:r>
    </w:p>
    <w:p>
      <w:pPr>
        <w:pStyle w:val="ListBullet"/>
      </w:pPr>
      <w:r>
        <w:t>C'est la seule des trois pistes qui puisse expliquer les 27 % de suppressions du panel portées par les quatre chaînes antiparasitaires américaines, premier point du backlog depuis le 14 septembre.</w:t>
      </w:r>
    </w:p>
    <w:p>
      <w:pPr>
        <w:pStyle w:val="ListBullet"/>
      </w:pPr>
      <w:r>
        <w:t>Elle peut produire une phrase utilisable par un commerçant : « les avis qui disparaissent chez vous se ressemblent entre eux, et voici en quoi ».</w:t>
      </w:r>
    </w:p>
    <w:p>
      <w:pPr>
        <w:spacing w:before="120" w:after="40"/>
      </w:pPr>
      <w:r>
        <w:rPr>
          <w:b/>
          <w:sz w:val="21"/>
        </w:rPr>
        <w:t>Pourquoi elle peut échouer complètement</w:t>
      </w:r>
    </w:p>
    <w:p>
      <w:pPr>
        <w:pStyle w:val="ListBullet"/>
      </w:pPr>
      <w:r>
        <w:t>Le lot des avis supprimés est à 71 % en 5 étoiles, majoritairement américain, concentré sur les services à domicile, et 39 % de son volume vient de six enseignes. Comparé globalement au lot des survivants, il livrera des marqueurs de traitement antiparasitaire américain et de salle de sport espagnole.</w:t>
      </w:r>
    </w:p>
    <w:p>
      <w:pPr>
        <w:pStyle w:val="ListBullet"/>
      </w:pPr>
      <w:r>
        <w:t>La version par mots a déjà été tentée et n'a rien donné : onze marqueurs cherchés dans les textes supprimés — insultes, spam, charabia —, avec un dictionnaire qui couvre 7 langues sur 41 pays.</w:t>
      </w:r>
    </w:p>
    <w:p>
      <w:pPr>
        <w:spacing w:before="120" w:after="40"/>
      </w:pPr>
      <w:r>
        <w:rPr>
          <w:b/>
          <w:sz w:val="21"/>
        </w:rPr>
        <w:t>La condition qui la rend valable</w:t>
      </w:r>
    </w:p>
    <w:p>
      <w:r>
        <w:t>La comparaison se fait à l'intérieur d'une fiche qui a perdu des avis un jour donné, entre ce qui est parti et ce qui est resté. Le secteur, le pays, la taille du groupe, la langue habituelle de la fiche et l'attention du commerçant s'annulent alors par construction. Ce montage a déjà tourné dans l'étude exploratoire sur 514 établissements et 61 202 observations, et ses 26 effets ont tous tenu au contrôle de robustesse.</w:t>
      </w:r>
    </w:p>
    <w:p>
      <w:pPr>
        <w:spacing w:before="120" w:after="40"/>
      </w:pPr>
      <w:r>
        <w:rPr>
          <w:b/>
          <w:sz w:val="21"/>
        </w:rPr>
        <w:t>Ce qu'il faut mesurer, et qui n'a jamais été mesuré</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9"/>
              </w:rPr>
              <w:t>Mesure</w:t>
            </w:r>
          </w:p>
        </w:tc>
        <w:tc>
          <w:tcPr>
            <w:tcW w:type="dxa" w:w="4320"/>
          </w:tcPr>
          <w:p>
            <w:r/>
            <w:r>
              <w:rPr>
                <w:b/>
                <w:sz w:val="19"/>
              </w:rPr>
              <w:t>Ce qu'elle teste</w:t>
            </w:r>
          </w:p>
        </w:tc>
      </w:tr>
      <w:tr>
        <w:tc>
          <w:tcPr>
            <w:tcW w:type="dxa" w:w="4320"/>
          </w:tcPr>
          <w:p>
            <w:r/>
            <w:r>
              <w:rPr>
                <w:sz w:val="19"/>
              </w:rPr>
              <w:t>Quasi-doublons entre avis d'une même fiche</w:t>
            </w:r>
          </w:p>
        </w:tc>
        <w:tc>
          <w:tcPr>
            <w:tcW w:type="dxa" w:w="4320"/>
          </w:tcPr>
          <w:p>
            <w:r/>
            <w:r>
              <w:rPr>
                <w:sz w:val="19"/>
              </w:rPr>
              <w:t>des avis produits en série</w:t>
            </w:r>
          </w:p>
        </w:tc>
      </w:tr>
      <w:tr>
        <w:tc>
          <w:tcPr>
            <w:tcW w:type="dxa" w:w="4320"/>
          </w:tcPr>
          <w:p>
            <w:r/>
            <w:r>
              <w:rPr>
                <w:sz w:val="19"/>
              </w:rPr>
              <w:t>Répétition d'un même prénom sur les avis d'une fiche</w:t>
            </w:r>
          </w:p>
        </w:tc>
        <w:tc>
          <w:tcPr>
            <w:tcW w:type="dxa" w:w="4320"/>
          </w:tcPr>
          <w:p>
            <w:r/>
            <w:r>
              <w:rPr>
                <w:sz w:val="19"/>
              </w:rPr>
              <w:t>l'hypothèse du technicien nommé, point 1 du backlog</w:t>
            </w:r>
          </w:p>
        </w:tc>
      </w:tr>
      <w:tr>
        <w:tc>
          <w:tcPr>
            <w:tcW w:type="dxa" w:w="4320"/>
          </w:tcPr>
          <w:p>
            <w:r/>
            <w:r>
              <w:rPr>
                <w:sz w:val="19"/>
              </w:rPr>
              <w:t>Ressemblance de gabarit, mots différents</w:t>
            </w:r>
          </w:p>
        </w:tc>
        <w:tc>
          <w:tcPr>
            <w:tcW w:type="dxa" w:w="4320"/>
          </w:tcPr>
          <w:p>
            <w:r/>
            <w:r>
              <w:rPr>
                <w:sz w:val="19"/>
              </w:rPr>
              <w:t>une campagne d'avis sollicités</w:t>
            </w:r>
          </w:p>
        </w:tc>
      </w:tr>
      <w:tr>
        <w:tc>
          <w:tcPr>
            <w:tcW w:type="dxa" w:w="4320"/>
          </w:tcPr>
          <w:p>
            <w:r/>
            <w:r>
              <w:rPr>
                <w:sz w:val="19"/>
              </w:rPr>
              <w:t>Absence de texte</w:t>
            </w:r>
          </w:p>
        </w:tc>
        <w:tc>
          <w:tcPr>
            <w:tcW w:type="dxa" w:w="4320"/>
          </w:tcPr>
          <w:p>
            <w:r/>
            <w:r>
              <w:rPr>
                <w:sz w:val="19"/>
              </w:rPr>
              <w:t>les 30 % d'avis supprimés sans texte, point L5</w:t>
            </w:r>
          </w:p>
        </w:tc>
      </w:tr>
    </w:tbl>
    <w:p/>
    <w:p>
      <w:r>
        <w:t>La recherche de quasi-doublons se fait par empreintes de suites de caractères, sans modèle et sans difficulté de langue. L'embedding n'intervient que pour le cas « même idée, mots différents ».</w:t>
      </w:r>
    </w:p>
    <w:p>
      <w:pPr>
        <w:pStyle w:val="Heading1"/>
      </w:pPr>
      <w:r>
        <w:t>Piste 3 — Pousser l'analyse sur la réponse du propriétaire</w:t>
      </w:r>
    </w:p>
    <w:p>
      <w:r>
        <w:rPr>
          <w:b/>
        </w:rPr>
        <w:t>Verdict : à faire en premier, en poussant sur le sens de la cause.</w:t>
      </w:r>
    </w:p>
    <w:p>
      <w:pPr>
        <w:spacing w:before="120" w:after="40"/>
      </w:pPr>
      <w:r>
        <w:rPr>
          <w:b/>
          <w:sz w:val="21"/>
        </w:rPr>
        <w:t>Pourquoi c'est une bonne idée</w:t>
      </w:r>
    </w:p>
    <w:p>
      <w:pPr>
        <w:pStyle w:val="ListBullet"/>
      </w:pPr>
      <w:r>
        <w:t>C'est la question posée par le client d'Axel, et le seul levier qu'un commerçant peut actionner lui-même.</w:t>
      </w:r>
    </w:p>
    <w:p>
      <w:pPr>
        <w:pStyle w:val="ListBullet"/>
      </w:pPr>
      <w:r>
        <w:t>Le résultat existe déjà et porte le livrable : hors des quatre chaînes antiparasitaires, répondre dans les deux jours divise le risque par 1,8.</w:t>
      </w:r>
    </w:p>
    <w:p>
      <w:pPr>
        <w:pStyle w:val="ListBullet"/>
      </w:pPr>
      <w:r>
        <w:t>La réserve qui l'affaiblit est nommée dans la documentation, et elle se referme avec les données en main.</w:t>
      </w:r>
    </w:p>
    <w:p>
      <w:pPr>
        <w:spacing w:before="120" w:after="40"/>
      </w:pPr>
      <w:r>
        <w:rPr>
          <w:b/>
          <w:sz w:val="21"/>
        </w:rPr>
        <w:t>Ce qui n'apportera rien</w:t>
      </w:r>
    </w:p>
    <w:p>
      <w:r>
        <w:t>Ajouter des moments d'observation. Quatre ont été testés — la protection vaut 1,7 fois au premier jour, 1,8 au deuxième, 2,2 au troisième, 2,1 au quatrième. Le cinquième donnera la même réponse.</w:t>
      </w:r>
    </w:p>
    <w:p>
      <w:pPr>
        <w:spacing w:before="120" w:after="40"/>
      </w:pPr>
      <w:r>
        <w:rPr>
          <w:b/>
          <w:sz w:val="21"/>
        </w:rPr>
        <w:t>Le trou à refermer</w:t>
      </w:r>
    </w:p>
    <w:p>
      <w:r>
        <w:t>Un commerçant qui répond en deux jours est aussi un commerçant qui surveille sa fiche et signale les avis qu'il juge illégitimes. Tant que cette explication tient, le conseil « répondez vite » perd son fondement. Trois travaux la réduisent, tous faisables sur les données existantes.</w:t>
      </w:r>
    </w:p>
    <w:p>
      <w:pPr>
        <w:pStyle w:val="ListBullet"/>
      </w:pPr>
      <w:r>
        <w:t>Mesurer l'habitude de la fiche — sa part d'avis répondus et son délai habituel de réponse, calculés sur les avis publiés avant le 11 août, donc figés avant la période de risque — et la mettre dans le modèle. Il compare alors deux avis dont les commerces ont la même habitude.</w:t>
      </w:r>
    </w:p>
    <w:p>
      <w:pPr>
        <w:pStyle w:val="ListBullet"/>
      </w:pPr>
      <w:r>
        <w:t>Comparer deux avis de la même fiche, l'un répondu vite, l'autre non. Même montage que pour la piste 2, et il règle le problème sans qu'il faille mesurer l'habitude.</w:t>
      </w:r>
    </w:p>
    <w:p>
      <w:pPr>
        <w:pStyle w:val="ListBullet"/>
      </w:pPr>
      <w:r>
        <w:t>Séparer les avis négatifs des avis élogieux. C'est le test le plus tranchant et le moins cher. Si la protection joue aussi sur les avis 5 étoiles, le signalement par le commerçant ne peut pas l'expliquer, puisque personne ne signale un avis élogieux.</w:t>
      </w:r>
    </w:p>
    <w:p>
      <w:pPr>
        <w:spacing w:before="120" w:after="40"/>
      </w:pPr>
      <w:r>
        <w:rPr>
          <w:b/>
          <w:sz w:val="21"/>
        </w:rPr>
        <w:t>Les limites à surveiller</w:t>
      </w:r>
    </w:p>
    <w:p>
      <w:pPr>
        <w:pStyle w:val="ListBullet"/>
      </w:pPr>
      <w:r>
        <w:t>La population est petite. Au jalon du deuxième jour, le corpus complet compte 15 193 avis et 505 suppressions ; une fois les quatre chaînes antiparasitaires retirées, il reste 14 170 avis et 316 suppressions. Chaque découpage la vide un peu plus.</w:t>
      </w:r>
    </w:p>
    <w:p>
      <w:pPr>
        <w:pStyle w:val="ListBullet"/>
      </w:pPr>
      <w:r>
        <w:t>Le découpage par note tiendra du côté 5 étoiles, qui porte le gros du volume. Du côté 1 étoile, les effectifs seront trop minces pour conclure.</w:t>
      </w:r>
    </w:p>
    <w:p>
      <w:pPr>
        <w:pStyle w:val="ListBullet"/>
      </w:pPr>
      <w:r>
        <w:t>Avec 316 suppressions, tester dix découpages en produira un remarquable par accident. Les découpages se déclarent avant de lancer le calcul.</w:t>
      </w:r>
    </w:p>
    <w:p>
      <w:pPr>
        <w:pStyle w:val="ListBullet"/>
      </w:pPr>
      <w:r>
        <w:t>Tout doit être rejoué deux fois. Les quatre chaînes antiparasitaires portent 189 des 505 suppressions de cette population, soit 37 %.</w:t>
      </w:r>
    </w:p>
    <w:p>
      <w:pPr>
        <w:pStyle w:val="ListBullet"/>
      </w:pPr>
      <w:r>
        <w:t>Deux limites resteront : une réponse retirée par le commerçant est invisible, et une réponse arrivée après la suppression ne peut pas être observée.</w:t>
      </w:r>
    </w:p>
    <w:p>
      <w:pPr>
        <w:pStyle w:val="Heading1"/>
      </w:pPr>
      <w:r>
        <w:t>Le classement des trois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9"/>
              </w:rPr>
            </w:r>
          </w:p>
        </w:tc>
        <w:tc>
          <w:tcPr>
            <w:tcW w:type="dxa" w:w="1728"/>
          </w:tcPr>
          <w:p>
            <w:r/>
            <w:r>
              <w:rPr>
                <w:b/>
                <w:sz w:val="19"/>
              </w:rPr>
              <w:t>Piste</w:t>
            </w:r>
          </w:p>
        </w:tc>
        <w:tc>
          <w:tcPr>
            <w:tcW w:type="dxa" w:w="1728"/>
          </w:tcPr>
          <w:p>
            <w:r/>
            <w:r>
              <w:rPr>
                <w:b/>
                <w:sz w:val="19"/>
              </w:rPr>
              <w:t>Valeur</w:t>
            </w:r>
          </w:p>
        </w:tc>
        <w:tc>
          <w:tcPr>
            <w:tcW w:type="dxa" w:w="1728"/>
          </w:tcPr>
          <w:p>
            <w:r/>
            <w:r>
              <w:rPr>
                <w:b/>
                <w:sz w:val="19"/>
              </w:rPr>
              <w:t>Coût</w:t>
            </w:r>
          </w:p>
        </w:tc>
        <w:tc>
          <w:tcPr>
            <w:tcW w:type="dxa" w:w="1728"/>
          </w:tcPr>
          <w:p>
            <w:r/>
            <w:r>
              <w:rPr>
                <w:b/>
                <w:sz w:val="19"/>
              </w:rPr>
              <w:t>Risque de se tromper</w:t>
            </w:r>
          </w:p>
        </w:tc>
      </w:tr>
      <w:tr>
        <w:tc>
          <w:tcPr>
            <w:tcW w:type="dxa" w:w="1728"/>
          </w:tcPr>
          <w:p>
            <w:pPr>
              <w:jc w:val="right"/>
            </w:pPr>
            <w:r/>
            <w:r>
              <w:rPr>
                <w:sz w:val="19"/>
              </w:rPr>
              <w:t>1</w:t>
            </w:r>
          </w:p>
        </w:tc>
        <w:tc>
          <w:tcPr>
            <w:tcW w:type="dxa" w:w="1728"/>
          </w:tcPr>
          <w:p>
            <w:r/>
            <w:r>
              <w:rPr>
                <w:sz w:val="19"/>
              </w:rPr>
              <w:t>Réponse du propriétaire, les trois travaux</w:t>
            </w:r>
          </w:p>
        </w:tc>
        <w:tc>
          <w:tcPr>
            <w:tcW w:type="dxa" w:w="1728"/>
          </w:tcPr>
          <w:p>
            <w:r/>
            <w:r>
              <w:rPr>
                <w:sz w:val="19"/>
              </w:rPr>
              <w:t>élevée, c'est le livrable</w:t>
            </w:r>
          </w:p>
        </w:tc>
        <w:tc>
          <w:tcPr>
            <w:tcW w:type="dxa" w:w="1728"/>
          </w:tcPr>
          <w:p>
            <w:r/>
            <w:r>
              <w:rPr>
                <w:sz w:val="19"/>
              </w:rPr>
              <w:t>faible</w:t>
            </w:r>
          </w:p>
        </w:tc>
        <w:tc>
          <w:tcPr>
            <w:tcW w:type="dxa" w:w="1728"/>
          </w:tcPr>
          <w:p>
            <w:r/>
            <w:r>
              <w:rPr>
                <w:sz w:val="19"/>
              </w:rPr>
              <w:t>faible</w:t>
            </w:r>
          </w:p>
        </w:tc>
      </w:tr>
      <w:tr>
        <w:tc>
          <w:tcPr>
            <w:tcW w:type="dxa" w:w="1728"/>
          </w:tcPr>
          <w:p>
            <w:pPr>
              <w:jc w:val="right"/>
            </w:pPr>
            <w:r/>
            <w:r>
              <w:rPr>
                <w:sz w:val="19"/>
              </w:rPr>
              <w:t>2</w:t>
            </w:r>
          </w:p>
        </w:tc>
        <w:tc>
          <w:tcPr>
            <w:tcW w:type="dxa" w:w="1728"/>
          </w:tcPr>
          <w:p>
            <w:r/>
            <w:r>
              <w:rPr>
                <w:sz w:val="19"/>
              </w:rPr>
              <w:t>Textes qui se ressemblent, en comparaison interne à la fiche</w:t>
            </w:r>
          </w:p>
        </w:tc>
        <w:tc>
          <w:tcPr>
            <w:tcW w:type="dxa" w:w="1728"/>
          </w:tcPr>
          <w:p>
            <w:r/>
            <w:r>
              <w:rPr>
                <w:sz w:val="19"/>
              </w:rPr>
              <w:t>élevée, c'est la part inexpliquée</w:t>
            </w:r>
          </w:p>
        </w:tc>
        <w:tc>
          <w:tcPr>
            <w:tcW w:type="dxa" w:w="1728"/>
          </w:tcPr>
          <w:p>
            <w:r/>
            <w:r>
              <w:rPr>
                <w:sz w:val="19"/>
              </w:rPr>
              <w:t>moyen</w:t>
            </w:r>
          </w:p>
        </w:tc>
        <w:tc>
          <w:tcPr>
            <w:tcW w:type="dxa" w:w="1728"/>
          </w:tcPr>
          <w:p>
            <w:r/>
            <w:r>
              <w:rPr>
                <w:sz w:val="19"/>
              </w:rPr>
              <w:t>élevé si le périmètre est global</w:t>
            </w:r>
          </w:p>
        </w:tc>
      </w:tr>
      <w:tr>
        <w:tc>
          <w:tcPr>
            <w:tcW w:type="dxa" w:w="1728"/>
          </w:tcPr>
          <w:p>
            <w:pPr>
              <w:jc w:val="right"/>
            </w:pPr>
            <w:r/>
            <w:r>
              <w:rPr>
                <w:sz w:val="19"/>
              </w:rPr>
              <w:t>3</w:t>
            </w:r>
          </w:p>
        </w:tc>
        <w:tc>
          <w:tcPr>
            <w:tcW w:type="dxa" w:w="1728"/>
          </w:tcPr>
          <w:p>
            <w:r/>
            <w:r>
              <w:rPr>
                <w:sz w:val="19"/>
              </w:rPr>
              <w:t>Embedding</w:t>
            </w:r>
          </w:p>
        </w:tc>
        <w:tc>
          <w:tcPr>
            <w:tcW w:type="dxa" w:w="1728"/>
          </w:tcPr>
          <w:p>
            <w:r/>
            <w:r>
              <w:rPr>
                <w:sz w:val="19"/>
              </w:rPr>
              <w:t>faible en prédiction, réelle en exploration</w:t>
            </w:r>
          </w:p>
        </w:tc>
        <w:tc>
          <w:tcPr>
            <w:tcW w:type="dxa" w:w="1728"/>
          </w:tcPr>
          <w:p>
            <w:r/>
            <w:r>
              <w:rPr>
                <w:sz w:val="19"/>
              </w:rPr>
              <w:t>moyen</w:t>
            </w:r>
          </w:p>
        </w:tc>
        <w:tc>
          <w:tcPr>
            <w:tcW w:type="dxa" w:w="1728"/>
          </w:tcPr>
          <w:p>
            <w:r/>
            <w:r>
              <w:rPr>
                <w:sz w:val="19"/>
              </w:rPr>
              <w:t>élevé, il relit le secteur</w:t>
            </w:r>
          </w:p>
        </w:tc>
      </w:tr>
    </w:tbl>
    <w:p/>
    <w:p>
      <w:r>
        <w:t>Les pistes 2 et 3 sont la même idée à deux niveaux de finesse. L'embedding est l'outil, la comparaison de textes est la question. Choisir l'embedding avant d'avoir posé le périmètre de comparaison reviendrait à choisir l'outil avant la question.</w:t>
      </w:r>
    </w:p>
    <w:p>
      <w:pPr>
        <w:pStyle w:val="Heading1"/>
      </w:pPr>
      <w:r>
        <w:t>Deux points à trancher avant tout code</w:t>
      </w:r>
    </w:p>
    <w:p>
      <w:pPr>
        <w:spacing w:before="120" w:after="40"/>
      </w:pPr>
      <w:r>
        <w:rPr>
          <w:b/>
          <w:sz w:val="21"/>
        </w:rPr>
        <w:t>1. Les documents du projet se contredisent sur la piste 2</w:t>
      </w:r>
    </w:p>
    <w:p>
      <w:pPr>
        <w:pStyle w:val="ListBullet"/>
      </w:pPr>
      <w:r>
        <w:t>docs/01-etude.md § 5, « ce qui est écarté et qu'il ne faut pas proposer » : « la recherche de textes identiques à l'intérieur d'un même établissement ». Repris tel quel dans la section « écarté » du backlog.</w:t>
      </w:r>
    </w:p>
    <w:p>
      <w:pPr>
        <w:pStyle w:val="ListBullet"/>
      </w:pPr>
      <w:r>
        <w:t>docs/BACKLOG.md, « à faire, par ordre d'intérêt », point 1 : « leurs textes citent très souvent un technicien par son prénom. Compter la répétition d'un même prénom sur les avis d'une fiche ».</w:t>
      </w:r>
    </w:p>
    <w:p>
      <w:r>
        <w:t>Les deux portent sur la répétition de texte au sein d'une fiche. L'un l'interdit, l'autre le classe premier. La contradiction se règle avant d'écrire une ligne de code.</w:t>
      </w:r>
    </w:p>
    <w:p>
      <w:pPr>
        <w:spacing w:before="120" w:after="40"/>
      </w:pPr>
      <w:r>
        <w:rPr>
          <w:b/>
          <w:sz w:val="21"/>
        </w:rPr>
        <w:t>2. L'embedding doit tourner sur la machine</w:t>
      </w:r>
    </w:p>
    <w:p>
      <w:r>
        <w:t>Voir la contrainte de licence rappelée dans la piste 1. Le choix du modèle en découle.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