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suppressions se concentrent-elles sur quelques fiches ?</w:t>
      </w:r>
    </w:p>
    <w:p>
      <w:r>
        <w:rPr>
          <w:i/>
          <w:color w:val="52514E"/>
          <w:sz w:val="21"/>
        </w:rPr>
        <w:t>ReviewFlowz — suppressions d'avis Google — 18 septembre 2026 — 4 747 suppressions sur 8 997 fiches, du 11 au 24 août 2026</w:t>
      </w:r>
    </w:p>
    <w:p>
      <w:pPr>
        <w:pStyle w:val="Heading1"/>
      </w:pPr>
      <w:r>
        <w:t>La réponse en une phrase</w:t>
      </w:r>
    </w:p>
    <w:p>
      <w:r>
        <w:t>72 fiches sur 8 997 portent la moitié des 4 747 suppressions. Si les suppressions tombaient au hasard, proportionnellement au nombre d'avis de chaque fiche, il en faudrait environ 905 pour atteindre la même moitié.</w:t>
      </w:r>
    </w:p>
    <w:p>
      <w:r>
        <w:t>Autrement dit, la moitié des suppressions se joue sur douze fois moins de fiches que ce que la taille des fiches laisserait attendre. La concentration est donc réelle, et elle ne vient pas de ce que certaines fiches ont beaucoup plus d'avis que d'autres.</w:t>
      </w:r>
    </w:p>
    <w:p>
      <w:pPr>
        <w:jc w:val="center"/>
      </w:pPr>
      <w:r>
        <w:drawing>
          <wp:inline xmlns:a="http://schemas.openxmlformats.org/drawingml/2006/main" xmlns:pic="http://schemas.openxmlformats.org/drawingml/2006/picture">
            <wp:extent cx="5760720" cy="3836040"/>
            <wp:docPr id="1" name="Picture 1"/>
            <wp:cNvGraphicFramePr>
              <a:graphicFrameLocks noChangeAspect="1"/>
            </wp:cNvGraphicFramePr>
            <a:graphic>
              <a:graphicData uri="http://schemas.openxmlformats.org/drawingml/2006/picture">
                <pic:pic>
                  <pic:nvPicPr>
                    <pic:cNvPr id="0" name="figure4-concentration-suppressions.png"/>
                    <pic:cNvPicPr/>
                  </pic:nvPicPr>
                  <pic:blipFill>
                    <a:blip r:embed="rId9"/>
                    <a:stretch>
                      <a:fillRect/>
                    </a:stretch>
                  </pic:blipFill>
                  <pic:spPr>
                    <a:xfrm>
                      <a:off x="0" y="0"/>
                      <a:ext cx="5760720" cy="3836040"/>
                    </a:xfrm>
                    <a:prstGeom prst="rect"/>
                  </pic:spPr>
                </pic:pic>
              </a:graphicData>
            </a:graphic>
          </wp:inline>
        </w:drawing>
      </w:r>
    </w:p>
    <w:p>
      <w:pPr>
        <w:jc w:val="center"/>
      </w:pPr>
      <w:r>
        <w:rPr>
          <w:color w:val="52514E"/>
          <w:sz w:val="18"/>
        </w:rPr>
        <w:t>Figure — Part cumulée des suppressions, des fiches les plus touchées aux moins touchées.</w:t>
      </w:r>
    </w:p>
    <w:p>
      <w:pPr>
        <w:pStyle w:val="Heading1"/>
      </w:pPr>
      <w:r>
        <w:t>Le détail chiffré</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Les N fiches les plus touchées</w:t>
            </w:r>
          </w:p>
        </w:tc>
        <w:tc>
          <w:tcPr>
            <w:tcW w:type="dxa" w:w="2880"/>
          </w:tcPr>
          <w:p>
            <w:r/>
            <w:r>
              <w:rPr>
                <w:b/>
                <w:sz w:val="19"/>
              </w:rPr>
              <w:t>Part observée des suppressions</w:t>
            </w:r>
          </w:p>
        </w:tc>
        <w:tc>
          <w:tcPr>
            <w:tcW w:type="dxa" w:w="2880"/>
          </w:tcPr>
          <w:p>
            <w:r/>
            <w:r>
              <w:rPr>
                <w:b/>
                <w:sz w:val="19"/>
              </w:rPr>
              <w:t>Part si les suppressions suivaient la taille des fiches</w:t>
            </w:r>
          </w:p>
        </w:tc>
      </w:tr>
      <w:tr>
        <w:tc>
          <w:tcPr>
            <w:tcW w:type="dxa" w:w="2880"/>
          </w:tcPr>
          <w:p>
            <w:pPr>
              <w:jc w:val="right"/>
            </w:pPr>
            <w:r/>
            <w:r>
              <w:rPr>
                <w:sz w:val="19"/>
              </w:rPr>
              <w:t>1</w:t>
            </w:r>
          </w:p>
        </w:tc>
        <w:tc>
          <w:tcPr>
            <w:tcW w:type="dxa" w:w="2880"/>
          </w:tcPr>
          <w:p>
            <w:pPr>
              <w:jc w:val="right"/>
            </w:pPr>
            <w:r/>
            <w:r>
              <w:rPr>
                <w:sz w:val="19"/>
              </w:rPr>
              <w:t>4,8 %</w:t>
            </w:r>
          </w:p>
        </w:tc>
        <w:tc>
          <w:tcPr>
            <w:tcW w:type="dxa" w:w="2880"/>
          </w:tcPr>
          <w:p>
            <w:pPr>
              <w:jc w:val="right"/>
            </w:pPr>
            <w:r/>
            <w:r>
              <w:rPr>
                <w:sz w:val="19"/>
              </w:rPr>
              <w:t>0,5 %</w:t>
            </w:r>
          </w:p>
        </w:tc>
      </w:tr>
      <w:tr>
        <w:tc>
          <w:tcPr>
            <w:tcW w:type="dxa" w:w="2880"/>
          </w:tcPr>
          <w:p>
            <w:pPr>
              <w:jc w:val="right"/>
            </w:pPr>
            <w:r/>
            <w:r>
              <w:rPr>
                <w:sz w:val="19"/>
              </w:rPr>
              <w:t>5</w:t>
            </w:r>
          </w:p>
        </w:tc>
        <w:tc>
          <w:tcPr>
            <w:tcW w:type="dxa" w:w="2880"/>
          </w:tcPr>
          <w:p>
            <w:pPr>
              <w:jc w:val="right"/>
            </w:pPr>
            <w:r/>
            <w:r>
              <w:rPr>
                <w:sz w:val="19"/>
              </w:rPr>
              <w:t>13,4 %</w:t>
            </w:r>
          </w:p>
        </w:tc>
        <w:tc>
          <w:tcPr>
            <w:tcW w:type="dxa" w:w="2880"/>
          </w:tcPr>
          <w:p>
            <w:pPr>
              <w:jc w:val="right"/>
            </w:pPr>
            <w:r/>
            <w:r>
              <w:rPr>
                <w:sz w:val="19"/>
              </w:rPr>
              <w:t>1,4 %</w:t>
            </w:r>
          </w:p>
        </w:tc>
      </w:tr>
      <w:tr>
        <w:tc>
          <w:tcPr>
            <w:tcW w:type="dxa" w:w="2880"/>
          </w:tcPr>
          <w:p>
            <w:pPr>
              <w:jc w:val="right"/>
            </w:pPr>
            <w:r/>
            <w:r>
              <w:rPr>
                <w:sz w:val="19"/>
              </w:rPr>
              <w:t>10</w:t>
            </w:r>
          </w:p>
        </w:tc>
        <w:tc>
          <w:tcPr>
            <w:tcW w:type="dxa" w:w="2880"/>
          </w:tcPr>
          <w:p>
            <w:pPr>
              <w:jc w:val="right"/>
            </w:pPr>
            <w:r/>
            <w:r>
              <w:rPr>
                <w:sz w:val="19"/>
              </w:rPr>
              <w:t>18,9 %</w:t>
            </w:r>
          </w:p>
        </w:tc>
        <w:tc>
          <w:tcPr>
            <w:tcW w:type="dxa" w:w="2880"/>
          </w:tcPr>
          <w:p>
            <w:pPr>
              <w:jc w:val="right"/>
            </w:pPr>
            <w:r/>
            <w:r>
              <w:rPr>
                <w:sz w:val="19"/>
              </w:rPr>
              <w:t>2,4 %</w:t>
            </w:r>
          </w:p>
        </w:tc>
      </w:tr>
      <w:tr>
        <w:tc>
          <w:tcPr>
            <w:tcW w:type="dxa" w:w="2880"/>
          </w:tcPr>
          <w:p>
            <w:pPr>
              <w:jc w:val="right"/>
            </w:pPr>
            <w:r/>
            <w:r>
              <w:rPr>
                <w:sz w:val="19"/>
              </w:rPr>
              <w:t>20</w:t>
            </w:r>
          </w:p>
        </w:tc>
        <w:tc>
          <w:tcPr>
            <w:tcW w:type="dxa" w:w="2880"/>
          </w:tcPr>
          <w:p>
            <w:pPr>
              <w:jc w:val="right"/>
            </w:pPr>
            <w:r/>
            <w:r>
              <w:rPr>
                <w:sz w:val="19"/>
              </w:rPr>
              <w:t>27,4 %</w:t>
            </w:r>
          </w:p>
        </w:tc>
        <w:tc>
          <w:tcPr>
            <w:tcW w:type="dxa" w:w="2880"/>
          </w:tcPr>
          <w:p>
            <w:pPr>
              <w:jc w:val="right"/>
            </w:pPr>
            <w:r/>
            <w:r>
              <w:rPr>
                <w:sz w:val="19"/>
              </w:rPr>
              <w:t>4,1 %</w:t>
            </w:r>
          </w:p>
        </w:tc>
      </w:tr>
      <w:tr>
        <w:tc>
          <w:tcPr>
            <w:tcW w:type="dxa" w:w="2880"/>
          </w:tcPr>
          <w:p>
            <w:pPr>
              <w:jc w:val="right"/>
            </w:pPr>
            <w:r/>
            <w:r>
              <w:rPr>
                <w:sz w:val="19"/>
              </w:rPr>
              <w:t>50</w:t>
            </w:r>
          </w:p>
        </w:tc>
        <w:tc>
          <w:tcPr>
            <w:tcW w:type="dxa" w:w="2880"/>
          </w:tcPr>
          <w:p>
            <w:pPr>
              <w:jc w:val="right"/>
            </w:pPr>
            <w:r/>
            <w:r>
              <w:rPr>
                <w:sz w:val="19"/>
              </w:rPr>
              <w:t>42,7 %</w:t>
            </w:r>
          </w:p>
        </w:tc>
        <w:tc>
          <w:tcPr>
            <w:tcW w:type="dxa" w:w="2880"/>
          </w:tcPr>
          <w:p>
            <w:pPr>
              <w:jc w:val="right"/>
            </w:pPr>
            <w:r/>
            <w:r>
              <w:rPr>
                <w:sz w:val="19"/>
              </w:rPr>
              <w:t>8,1 %</w:t>
            </w:r>
          </w:p>
        </w:tc>
      </w:tr>
      <w:tr>
        <w:tc>
          <w:tcPr>
            <w:tcW w:type="dxa" w:w="2880"/>
          </w:tcPr>
          <w:p>
            <w:pPr>
              <w:jc w:val="right"/>
            </w:pPr>
            <w:r/>
            <w:r>
              <w:rPr>
                <w:sz w:val="19"/>
              </w:rPr>
              <w:t>100</w:t>
            </w:r>
          </w:p>
        </w:tc>
        <w:tc>
          <w:tcPr>
            <w:tcW w:type="dxa" w:w="2880"/>
          </w:tcPr>
          <w:p>
            <w:pPr>
              <w:jc w:val="right"/>
            </w:pPr>
            <w:r/>
            <w:r>
              <w:rPr>
                <w:sz w:val="19"/>
              </w:rPr>
              <w:t>57,4 %</w:t>
            </w:r>
          </w:p>
        </w:tc>
        <w:tc>
          <w:tcPr>
            <w:tcW w:type="dxa" w:w="2880"/>
          </w:tcPr>
          <w:p>
            <w:pPr>
              <w:jc w:val="right"/>
            </w:pPr>
            <w:r/>
            <w:r>
              <w:rPr>
                <w:sz w:val="19"/>
              </w:rPr>
              <w:t>13,2 %</w:t>
            </w:r>
          </w:p>
        </w:tc>
      </w:tr>
      <w:tr>
        <w:tc>
          <w:tcPr>
            <w:tcW w:type="dxa" w:w="2880"/>
          </w:tcPr>
          <w:p>
            <w:pPr>
              <w:jc w:val="right"/>
            </w:pPr>
            <w:r/>
            <w:r>
              <w:rPr>
                <w:sz w:val="19"/>
              </w:rPr>
              <w:t>200</w:t>
            </w:r>
          </w:p>
        </w:tc>
        <w:tc>
          <w:tcPr>
            <w:tcW w:type="dxa" w:w="2880"/>
          </w:tcPr>
          <w:p>
            <w:pPr>
              <w:jc w:val="right"/>
            </w:pPr>
            <w:r/>
            <w:r>
              <w:rPr>
                <w:sz w:val="19"/>
              </w:rPr>
              <w:t>70,7 %</w:t>
            </w:r>
          </w:p>
        </w:tc>
        <w:tc>
          <w:tcPr>
            <w:tcW w:type="dxa" w:w="2880"/>
          </w:tcPr>
          <w:p>
            <w:pPr>
              <w:jc w:val="right"/>
            </w:pPr>
            <w:r/>
            <w:r>
              <w:rPr>
                <w:sz w:val="19"/>
              </w:rPr>
              <w:t>21,0 %</w:t>
            </w:r>
          </w:p>
        </w:tc>
      </w:tr>
      <w:tr>
        <w:tc>
          <w:tcPr>
            <w:tcW w:type="dxa" w:w="2880"/>
          </w:tcPr>
          <w:p>
            <w:pPr>
              <w:jc w:val="right"/>
            </w:pPr>
            <w:r/>
            <w:r>
              <w:rPr>
                <w:sz w:val="19"/>
              </w:rPr>
              <w:t>500</w:t>
            </w:r>
          </w:p>
        </w:tc>
        <w:tc>
          <w:tcPr>
            <w:tcW w:type="dxa" w:w="2880"/>
          </w:tcPr>
          <w:p>
            <w:pPr>
              <w:jc w:val="right"/>
            </w:pPr>
            <w:r/>
            <w:r>
              <w:rPr>
                <w:sz w:val="19"/>
              </w:rPr>
              <w:t>82,8 %</w:t>
            </w:r>
          </w:p>
        </w:tc>
        <w:tc>
          <w:tcPr>
            <w:tcW w:type="dxa" w:w="2880"/>
          </w:tcPr>
          <w:p>
            <w:pPr>
              <w:jc w:val="right"/>
            </w:pPr>
            <w:r/>
            <w:r>
              <w:rPr>
                <w:sz w:val="19"/>
              </w:rPr>
              <w:t>36,1 %</w:t>
            </w:r>
          </w:p>
        </w:tc>
      </w:tr>
    </w:tbl>
    <w:p/>
    <w:p>
      <w:r>
        <w:t>Deux lectures utiles. Les 20 fiches les plus touchées portent 27,4 % des suppressions quand leur taille leur en donnerait 4,1 %. Et 17 fiches suffisent à porter le quart du total, 279 à en porter les trois quarts.</w:t>
      </w:r>
    </w:p>
    <w:p>
      <w:r>
        <w:t>L'autre bout de la distribution compte autant : 7 682 fiches sur 8 997 n'ont perdu aucun avis, soit 85,4 %. La suppression est un événement rare et groupé.</w:t>
      </w:r>
    </w:p>
    <w:p>
      <w:pPr>
        <w:pStyle w:val="Heading1"/>
      </w:pPr>
      <w:r>
        <w:t>Combien de suppressions par fiche touchée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Suppressions sur la fiche</w:t>
            </w:r>
          </w:p>
        </w:tc>
        <w:tc>
          <w:tcPr>
            <w:tcW w:type="dxa" w:w="2160"/>
          </w:tcPr>
          <w:p>
            <w:r/>
            <w:r>
              <w:rPr>
                <w:b/>
                <w:sz w:val="19"/>
              </w:rPr>
              <w:t>Fiches</w:t>
            </w:r>
          </w:p>
        </w:tc>
        <w:tc>
          <w:tcPr>
            <w:tcW w:type="dxa" w:w="2160"/>
          </w:tcPr>
          <w:p>
            <w:r/>
            <w:r>
              <w:rPr>
                <w:b/>
                <w:sz w:val="19"/>
              </w:rPr>
              <w:t>Suppressions</w:t>
            </w:r>
          </w:p>
        </w:tc>
        <w:tc>
          <w:tcPr>
            <w:tcW w:type="dxa" w:w="2160"/>
          </w:tcPr>
          <w:p>
            <w:r/>
            <w:r>
              <w:rPr>
                <w:b/>
                <w:sz w:val="19"/>
              </w:rPr>
              <w:t>Part du total</w:t>
            </w:r>
          </w:p>
        </w:tc>
      </w:tr>
      <w:tr>
        <w:tc>
          <w:tcPr>
            <w:tcW w:type="dxa" w:w="2160"/>
          </w:tcPr>
          <w:p>
            <w:r/>
            <w:r>
              <w:rPr>
                <w:sz w:val="19"/>
              </w:rPr>
              <w:t>1 suppression</w:t>
            </w:r>
          </w:p>
        </w:tc>
        <w:tc>
          <w:tcPr>
            <w:tcW w:type="dxa" w:w="2160"/>
          </w:tcPr>
          <w:p>
            <w:pPr>
              <w:jc w:val="right"/>
            </w:pPr>
            <w:r/>
            <w:r>
              <w:rPr>
                <w:sz w:val="19"/>
              </w:rPr>
              <w:t>887</w:t>
            </w:r>
          </w:p>
        </w:tc>
        <w:tc>
          <w:tcPr>
            <w:tcW w:type="dxa" w:w="2160"/>
          </w:tcPr>
          <w:p>
            <w:pPr>
              <w:jc w:val="right"/>
            </w:pPr>
            <w:r/>
            <w:r>
              <w:rPr>
                <w:sz w:val="19"/>
              </w:rPr>
              <w:t>887</w:t>
            </w:r>
          </w:p>
        </w:tc>
        <w:tc>
          <w:tcPr>
            <w:tcW w:type="dxa" w:w="2160"/>
          </w:tcPr>
          <w:p>
            <w:pPr>
              <w:jc w:val="right"/>
            </w:pPr>
            <w:r/>
            <w:r>
              <w:rPr>
                <w:sz w:val="19"/>
              </w:rPr>
              <w:t>18,7 %</w:t>
            </w:r>
          </w:p>
        </w:tc>
      </w:tr>
      <w:tr>
        <w:tc>
          <w:tcPr>
            <w:tcW w:type="dxa" w:w="2160"/>
          </w:tcPr>
          <w:p>
            <w:r/>
            <w:r>
              <w:rPr>
                <w:sz w:val="19"/>
              </w:rPr>
              <w:t>2 à 3</w:t>
            </w:r>
          </w:p>
        </w:tc>
        <w:tc>
          <w:tcPr>
            <w:tcW w:type="dxa" w:w="2160"/>
          </w:tcPr>
          <w:p>
            <w:pPr>
              <w:jc w:val="right"/>
            </w:pPr>
            <w:r/>
            <w:r>
              <w:rPr>
                <w:sz w:val="19"/>
              </w:rPr>
              <w:t>232</w:t>
            </w:r>
          </w:p>
        </w:tc>
        <w:tc>
          <w:tcPr>
            <w:tcW w:type="dxa" w:w="2160"/>
          </w:tcPr>
          <w:p>
            <w:pPr>
              <w:jc w:val="right"/>
            </w:pPr>
            <w:r/>
            <w:r>
              <w:rPr>
                <w:sz w:val="19"/>
              </w:rPr>
              <w:t>517</w:t>
            </w:r>
          </w:p>
        </w:tc>
        <w:tc>
          <w:tcPr>
            <w:tcW w:type="dxa" w:w="2160"/>
          </w:tcPr>
          <w:p>
            <w:pPr>
              <w:jc w:val="right"/>
            </w:pPr>
            <w:r/>
            <w:r>
              <w:rPr>
                <w:sz w:val="19"/>
              </w:rPr>
              <w:t>10,9 %</w:t>
            </w:r>
          </w:p>
        </w:tc>
      </w:tr>
      <w:tr>
        <w:tc>
          <w:tcPr>
            <w:tcW w:type="dxa" w:w="2160"/>
          </w:tcPr>
          <w:p>
            <w:r/>
            <w:r>
              <w:rPr>
                <w:sz w:val="19"/>
              </w:rPr>
              <w:t>4 à 9</w:t>
            </w:r>
          </w:p>
        </w:tc>
        <w:tc>
          <w:tcPr>
            <w:tcW w:type="dxa" w:w="2160"/>
          </w:tcPr>
          <w:p>
            <w:pPr>
              <w:jc w:val="right"/>
            </w:pPr>
            <w:r/>
            <w:r>
              <w:rPr>
                <w:sz w:val="19"/>
              </w:rPr>
              <w:t>82</w:t>
            </w:r>
          </w:p>
        </w:tc>
        <w:tc>
          <w:tcPr>
            <w:tcW w:type="dxa" w:w="2160"/>
          </w:tcPr>
          <w:p>
            <w:pPr>
              <w:jc w:val="right"/>
            </w:pPr>
            <w:r/>
            <w:r>
              <w:rPr>
                <w:sz w:val="19"/>
              </w:rPr>
              <w:t>480</w:t>
            </w:r>
          </w:p>
        </w:tc>
        <w:tc>
          <w:tcPr>
            <w:tcW w:type="dxa" w:w="2160"/>
          </w:tcPr>
          <w:p>
            <w:pPr>
              <w:jc w:val="right"/>
            </w:pPr>
            <w:r/>
            <w:r>
              <w:rPr>
                <w:sz w:val="19"/>
              </w:rPr>
              <w:t>10,1 %</w:t>
            </w:r>
          </w:p>
        </w:tc>
      </w:tr>
      <w:tr>
        <w:tc>
          <w:tcPr>
            <w:tcW w:type="dxa" w:w="2160"/>
          </w:tcPr>
          <w:p>
            <w:r/>
            <w:r>
              <w:rPr>
                <w:sz w:val="19"/>
              </w:rPr>
              <w:t>10 à 49</w:t>
            </w:r>
          </w:p>
        </w:tc>
        <w:tc>
          <w:tcPr>
            <w:tcW w:type="dxa" w:w="2160"/>
          </w:tcPr>
          <w:p>
            <w:pPr>
              <w:jc w:val="right"/>
            </w:pPr>
            <w:r/>
            <w:r>
              <w:rPr>
                <w:sz w:val="19"/>
              </w:rPr>
              <w:t>107</w:t>
            </w:r>
          </w:p>
        </w:tc>
        <w:tc>
          <w:tcPr>
            <w:tcW w:type="dxa" w:w="2160"/>
          </w:tcPr>
          <w:p>
            <w:pPr>
              <w:jc w:val="right"/>
            </w:pPr>
            <w:r/>
            <w:r>
              <w:rPr>
                <w:sz w:val="19"/>
              </w:rPr>
              <w:t>2 110</w:t>
            </w:r>
          </w:p>
        </w:tc>
        <w:tc>
          <w:tcPr>
            <w:tcW w:type="dxa" w:w="2160"/>
          </w:tcPr>
          <w:p>
            <w:pPr>
              <w:jc w:val="right"/>
            </w:pPr>
            <w:r/>
            <w:r>
              <w:rPr>
                <w:sz w:val="19"/>
              </w:rPr>
              <w:t>44,4 %</w:t>
            </w:r>
          </w:p>
        </w:tc>
      </w:tr>
      <w:tr>
        <w:tc>
          <w:tcPr>
            <w:tcW w:type="dxa" w:w="2160"/>
          </w:tcPr>
          <w:p>
            <w:r/>
            <w:r>
              <w:rPr>
                <w:sz w:val="19"/>
              </w:rPr>
              <w:t>50 et plus</w:t>
            </w:r>
          </w:p>
        </w:tc>
        <w:tc>
          <w:tcPr>
            <w:tcW w:type="dxa" w:w="2160"/>
          </w:tcPr>
          <w:p>
            <w:pPr>
              <w:jc w:val="right"/>
            </w:pPr>
            <w:r/>
            <w:r>
              <w:rPr>
                <w:sz w:val="19"/>
              </w:rPr>
              <w:t>7</w:t>
            </w:r>
          </w:p>
        </w:tc>
        <w:tc>
          <w:tcPr>
            <w:tcW w:type="dxa" w:w="2160"/>
          </w:tcPr>
          <w:p>
            <w:pPr>
              <w:jc w:val="right"/>
            </w:pPr>
            <w:r/>
            <w:r>
              <w:rPr>
                <w:sz w:val="19"/>
              </w:rPr>
              <w:t>753</w:t>
            </w:r>
          </w:p>
        </w:tc>
        <w:tc>
          <w:tcPr>
            <w:tcW w:type="dxa" w:w="2160"/>
          </w:tcPr>
          <w:p>
            <w:pPr>
              <w:jc w:val="right"/>
            </w:pPr>
            <w:r/>
            <w:r>
              <w:rPr>
                <w:sz w:val="19"/>
              </w:rPr>
              <w:t>15,9 %</w:t>
            </w:r>
          </w:p>
        </w:tc>
      </w:tr>
    </w:tbl>
    <w:p/>
    <w:p>
      <w:r>
        <w:t>Les 114 fiches qui perdent dix avis ou plus portent 60,3 % des suppressions. À l'opposé, 887 fiches n'en perdent qu'une seule et portent ensemble 18,7 % du total.</w:t>
      </w:r>
    </w:p>
    <w:p>
      <w:pPr>
        <w:pStyle w:val="Heading1"/>
      </w:pPr>
      <w:r>
        <w:t>Quelles fiches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Enseigne</w:t>
            </w:r>
          </w:p>
        </w:tc>
        <w:tc>
          <w:tcPr>
            <w:tcW w:type="dxa" w:w="1234"/>
          </w:tcPr>
          <w:p>
            <w:r/>
            <w:r>
              <w:rPr>
                <w:b/>
                <w:sz w:val="19"/>
              </w:rPr>
              <w:t>Secteur</w:t>
            </w:r>
          </w:p>
        </w:tc>
        <w:tc>
          <w:tcPr>
            <w:tcW w:type="dxa" w:w="1234"/>
          </w:tcPr>
          <w:p>
            <w:r/>
            <w:r>
              <w:rPr>
                <w:b/>
                <w:sz w:val="19"/>
              </w:rPr>
              <w:t>Pays</w:t>
            </w:r>
          </w:p>
        </w:tc>
        <w:tc>
          <w:tcPr>
            <w:tcW w:type="dxa" w:w="1234"/>
          </w:tcPr>
          <w:p>
            <w:r/>
            <w:r>
              <w:rPr>
                <w:b/>
                <w:sz w:val="19"/>
              </w:rPr>
              <w:t>Avis</w:t>
            </w:r>
          </w:p>
        </w:tc>
        <w:tc>
          <w:tcPr>
            <w:tcW w:type="dxa" w:w="1234"/>
          </w:tcPr>
          <w:p>
            <w:r/>
            <w:r>
              <w:rPr>
                <w:b/>
                <w:sz w:val="19"/>
              </w:rPr>
              <w:t>Suppressions</w:t>
            </w:r>
          </w:p>
        </w:tc>
        <w:tc>
          <w:tcPr>
            <w:tcW w:type="dxa" w:w="1234"/>
          </w:tcPr>
          <w:p>
            <w:r/>
            <w:r>
              <w:rPr>
                <w:b/>
                <w:sz w:val="19"/>
              </w:rPr>
              <w:t>Part de son stock</w:t>
            </w:r>
          </w:p>
        </w:tc>
        <w:tc>
          <w:tcPr>
            <w:tcW w:type="dxa" w:w="1234"/>
          </w:tcPr>
          <w:p>
            <w:r/>
            <w:r>
              <w:rPr>
                <w:b/>
                <w:sz w:val="19"/>
              </w:rPr>
              <w:t>Part du total</w:t>
            </w:r>
          </w:p>
        </w:tc>
      </w:tr>
      <w:tr>
        <w:tc>
          <w:tcPr>
            <w:tcW w:type="dxa" w:w="1234"/>
          </w:tcPr>
          <w:p>
            <w:r/>
            <w:r>
              <w:rPr>
                <w:sz w:val="19"/>
              </w:rPr>
              <w:t>Boutique The Boxer Club Dr Castelo</w:t>
            </w:r>
          </w:p>
        </w:tc>
        <w:tc>
          <w:tcPr>
            <w:tcW w:type="dxa" w:w="1234"/>
          </w:tcPr>
          <w:p>
            <w:r/>
            <w:r>
              <w:rPr>
                <w:sz w:val="19"/>
              </w:rPr>
              <w:t>Sport et bien-être</w:t>
            </w:r>
          </w:p>
        </w:tc>
        <w:tc>
          <w:tcPr>
            <w:tcW w:type="dxa" w:w="1234"/>
          </w:tcPr>
          <w:p>
            <w:r/>
            <w:r>
              <w:rPr>
                <w:sz w:val="19"/>
              </w:rPr>
              <w:t>ES</w:t>
            </w:r>
          </w:p>
        </w:tc>
        <w:tc>
          <w:tcPr>
            <w:tcW w:type="dxa" w:w="1234"/>
          </w:tcPr>
          <w:p>
            <w:pPr>
              <w:jc w:val="right"/>
            </w:pPr>
            <w:r/>
            <w:r>
              <w:rPr>
                <w:sz w:val="19"/>
              </w:rPr>
              <w:t>781</w:t>
            </w:r>
          </w:p>
        </w:tc>
        <w:tc>
          <w:tcPr>
            <w:tcW w:type="dxa" w:w="1234"/>
          </w:tcPr>
          <w:p>
            <w:pPr>
              <w:jc w:val="right"/>
            </w:pPr>
            <w:r/>
            <w:r>
              <w:rPr>
                <w:sz w:val="19"/>
              </w:rPr>
              <w:t>229</w:t>
            </w:r>
          </w:p>
        </w:tc>
        <w:tc>
          <w:tcPr>
            <w:tcW w:type="dxa" w:w="1234"/>
          </w:tcPr>
          <w:p>
            <w:pPr>
              <w:jc w:val="right"/>
            </w:pPr>
            <w:r/>
            <w:r>
              <w:rPr>
                <w:sz w:val="19"/>
              </w:rPr>
              <w:t>29,3 %</w:t>
            </w:r>
          </w:p>
        </w:tc>
        <w:tc>
          <w:tcPr>
            <w:tcW w:type="dxa" w:w="1234"/>
          </w:tcPr>
          <w:p>
            <w:pPr>
              <w:jc w:val="right"/>
            </w:pPr>
            <w:r/>
            <w:r>
              <w:rPr>
                <w:sz w:val="19"/>
              </w:rPr>
              <w:t>4,82 %</w:t>
            </w:r>
          </w:p>
        </w:tc>
      </w:tr>
      <w:tr>
        <w:tc>
          <w:tcPr>
            <w:tcW w:type="dxa" w:w="1234"/>
          </w:tcPr>
          <w:p>
            <w:r/>
            <w:r>
              <w:rPr>
                <w:sz w:val="19"/>
              </w:rPr>
              <w:t>The Boxer Club</w:t>
            </w:r>
          </w:p>
        </w:tc>
        <w:tc>
          <w:tcPr>
            <w:tcW w:type="dxa" w:w="1234"/>
          </w:tcPr>
          <w:p>
            <w:r/>
            <w:r>
              <w:rPr>
                <w:sz w:val="19"/>
              </w:rPr>
              <w:t>Sport et bien-être</w:t>
            </w:r>
          </w:p>
        </w:tc>
        <w:tc>
          <w:tcPr>
            <w:tcW w:type="dxa" w:w="1234"/>
          </w:tcPr>
          <w:p>
            <w:r/>
            <w:r>
              <w:rPr>
                <w:sz w:val="19"/>
              </w:rPr>
              <w:t>ES</w:t>
            </w:r>
          </w:p>
        </w:tc>
        <w:tc>
          <w:tcPr>
            <w:tcW w:type="dxa" w:w="1234"/>
          </w:tcPr>
          <w:p>
            <w:pPr>
              <w:jc w:val="right"/>
            </w:pPr>
            <w:r/>
            <w:r>
              <w:rPr>
                <w:sz w:val="19"/>
              </w:rPr>
              <w:t>668</w:t>
            </w:r>
          </w:p>
        </w:tc>
        <w:tc>
          <w:tcPr>
            <w:tcW w:type="dxa" w:w="1234"/>
          </w:tcPr>
          <w:p>
            <w:pPr>
              <w:jc w:val="right"/>
            </w:pPr>
            <w:r/>
            <w:r>
              <w:rPr>
                <w:sz w:val="19"/>
              </w:rPr>
              <w:t>135</w:t>
            </w:r>
          </w:p>
        </w:tc>
        <w:tc>
          <w:tcPr>
            <w:tcW w:type="dxa" w:w="1234"/>
          </w:tcPr>
          <w:p>
            <w:pPr>
              <w:jc w:val="right"/>
            </w:pPr>
            <w:r/>
            <w:r>
              <w:rPr>
                <w:sz w:val="19"/>
              </w:rPr>
              <w:t>20,2 %</w:t>
            </w:r>
          </w:p>
        </w:tc>
        <w:tc>
          <w:tcPr>
            <w:tcW w:type="dxa" w:w="1234"/>
          </w:tcPr>
          <w:p>
            <w:pPr>
              <w:jc w:val="right"/>
            </w:pPr>
            <w:r/>
            <w:r>
              <w:rPr>
                <w:sz w:val="19"/>
              </w:rPr>
              <w:t>2,84 %</w:t>
            </w:r>
          </w:p>
        </w:tc>
      </w:tr>
      <w:tr>
        <w:tc>
          <w:tcPr>
            <w:tcW w:type="dxa" w:w="1234"/>
          </w:tcPr>
          <w:p>
            <w:r/>
            <w:r>
              <w:rPr>
                <w:sz w:val="19"/>
              </w:rPr>
              <w:t>EcoShield Pest Solutions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11 018</w:t>
            </w:r>
          </w:p>
        </w:tc>
        <w:tc>
          <w:tcPr>
            <w:tcW w:type="dxa" w:w="1234"/>
          </w:tcPr>
          <w:p>
            <w:pPr>
              <w:jc w:val="right"/>
            </w:pPr>
            <w:r/>
            <w:r>
              <w:rPr>
                <w:sz w:val="19"/>
              </w:rPr>
              <w:t>99</w:t>
            </w:r>
          </w:p>
        </w:tc>
        <w:tc>
          <w:tcPr>
            <w:tcW w:type="dxa" w:w="1234"/>
          </w:tcPr>
          <w:p>
            <w:pPr>
              <w:jc w:val="right"/>
            </w:pPr>
            <w:r/>
            <w:r>
              <w:rPr>
                <w:sz w:val="19"/>
              </w:rPr>
              <w:t>0,9 %</w:t>
            </w:r>
          </w:p>
        </w:tc>
        <w:tc>
          <w:tcPr>
            <w:tcW w:type="dxa" w:w="1234"/>
          </w:tcPr>
          <w:p>
            <w:pPr>
              <w:jc w:val="right"/>
            </w:pPr>
            <w:r/>
            <w:r>
              <w:rPr>
                <w:sz w:val="19"/>
              </w:rPr>
              <w:t>2,09 %</w:t>
            </w:r>
          </w:p>
        </w:tc>
      </w:tr>
      <w:tr>
        <w:tc>
          <w:tcPr>
            <w:tcW w:type="dxa" w:w="1234"/>
          </w:tcPr>
          <w:p>
            <w:r/>
            <w:r>
              <w:rPr>
                <w:sz w:val="19"/>
              </w:rPr>
              <w:t>EcoShield Pest Solutions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11 245</w:t>
            </w:r>
          </w:p>
        </w:tc>
        <w:tc>
          <w:tcPr>
            <w:tcW w:type="dxa" w:w="1234"/>
          </w:tcPr>
          <w:p>
            <w:pPr>
              <w:jc w:val="right"/>
            </w:pPr>
            <w:r/>
            <w:r>
              <w:rPr>
                <w:sz w:val="19"/>
              </w:rPr>
              <w:t>88</w:t>
            </w:r>
          </w:p>
        </w:tc>
        <w:tc>
          <w:tcPr>
            <w:tcW w:type="dxa" w:w="1234"/>
          </w:tcPr>
          <w:p>
            <w:pPr>
              <w:jc w:val="right"/>
            </w:pPr>
            <w:r/>
            <w:r>
              <w:rPr>
                <w:sz w:val="19"/>
              </w:rPr>
              <w:t>0,8 %</w:t>
            </w:r>
          </w:p>
        </w:tc>
        <w:tc>
          <w:tcPr>
            <w:tcW w:type="dxa" w:w="1234"/>
          </w:tcPr>
          <w:p>
            <w:pPr>
              <w:jc w:val="right"/>
            </w:pPr>
            <w:r/>
            <w:r>
              <w:rPr>
                <w:sz w:val="19"/>
              </w:rPr>
              <w:t>1,85 %</w:t>
            </w:r>
          </w:p>
        </w:tc>
      </w:tr>
      <w:tr>
        <w:tc>
          <w:tcPr>
            <w:tcW w:type="dxa" w:w="1234"/>
          </w:tcPr>
          <w:p>
            <w:r/>
            <w:r>
              <w:rPr>
                <w:sz w:val="19"/>
              </w:rPr>
              <w:t>Insight Pest Solutions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1 745</w:t>
            </w:r>
          </w:p>
        </w:tc>
        <w:tc>
          <w:tcPr>
            <w:tcW w:type="dxa" w:w="1234"/>
          </w:tcPr>
          <w:p>
            <w:pPr>
              <w:jc w:val="right"/>
            </w:pPr>
            <w:r/>
            <w:r>
              <w:rPr>
                <w:sz w:val="19"/>
              </w:rPr>
              <w:t>87</w:t>
            </w:r>
          </w:p>
        </w:tc>
        <w:tc>
          <w:tcPr>
            <w:tcW w:type="dxa" w:w="1234"/>
          </w:tcPr>
          <w:p>
            <w:pPr>
              <w:jc w:val="right"/>
            </w:pPr>
            <w:r/>
            <w:r>
              <w:rPr>
                <w:sz w:val="19"/>
              </w:rPr>
              <w:t>5,0 %</w:t>
            </w:r>
          </w:p>
        </w:tc>
        <w:tc>
          <w:tcPr>
            <w:tcW w:type="dxa" w:w="1234"/>
          </w:tcPr>
          <w:p>
            <w:pPr>
              <w:jc w:val="right"/>
            </w:pPr>
            <w:r/>
            <w:r>
              <w:rPr>
                <w:sz w:val="19"/>
              </w:rPr>
              <w:t>1,83 %</w:t>
            </w:r>
          </w:p>
        </w:tc>
      </w:tr>
      <w:tr>
        <w:tc>
          <w:tcPr>
            <w:tcW w:type="dxa" w:w="1234"/>
          </w:tcPr>
          <w:p>
            <w:r/>
            <w:r>
              <w:rPr>
                <w:sz w:val="19"/>
              </w:rPr>
              <w:t>Cedar Park Overhead Doors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4 907</w:t>
            </w:r>
          </w:p>
        </w:tc>
        <w:tc>
          <w:tcPr>
            <w:tcW w:type="dxa" w:w="1234"/>
          </w:tcPr>
          <w:p>
            <w:pPr>
              <w:jc w:val="right"/>
            </w:pPr>
            <w:r/>
            <w:r>
              <w:rPr>
                <w:sz w:val="19"/>
              </w:rPr>
              <w:t>61</w:t>
            </w:r>
          </w:p>
        </w:tc>
        <w:tc>
          <w:tcPr>
            <w:tcW w:type="dxa" w:w="1234"/>
          </w:tcPr>
          <w:p>
            <w:pPr>
              <w:jc w:val="right"/>
            </w:pPr>
            <w:r/>
            <w:r>
              <w:rPr>
                <w:sz w:val="19"/>
              </w:rPr>
              <w:t>1,2 %</w:t>
            </w:r>
          </w:p>
        </w:tc>
        <w:tc>
          <w:tcPr>
            <w:tcW w:type="dxa" w:w="1234"/>
          </w:tcPr>
          <w:p>
            <w:pPr>
              <w:jc w:val="right"/>
            </w:pPr>
            <w:r/>
            <w:r>
              <w:rPr>
                <w:sz w:val="19"/>
              </w:rPr>
              <w:t>1,29 %</w:t>
            </w:r>
          </w:p>
        </w:tc>
      </w:tr>
      <w:tr>
        <w:tc>
          <w:tcPr>
            <w:tcW w:type="dxa" w:w="1234"/>
          </w:tcPr>
          <w:p>
            <w:r/>
            <w:r>
              <w:rPr>
                <w:sz w:val="19"/>
              </w:rPr>
              <w:t>Insight Pest Solutions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3 098</w:t>
            </w:r>
          </w:p>
        </w:tc>
        <w:tc>
          <w:tcPr>
            <w:tcW w:type="dxa" w:w="1234"/>
          </w:tcPr>
          <w:p>
            <w:pPr>
              <w:jc w:val="right"/>
            </w:pPr>
            <w:r/>
            <w:r>
              <w:rPr>
                <w:sz w:val="19"/>
              </w:rPr>
              <w:t>54</w:t>
            </w:r>
          </w:p>
        </w:tc>
        <w:tc>
          <w:tcPr>
            <w:tcW w:type="dxa" w:w="1234"/>
          </w:tcPr>
          <w:p>
            <w:pPr>
              <w:jc w:val="right"/>
            </w:pPr>
            <w:r/>
            <w:r>
              <w:rPr>
                <w:sz w:val="19"/>
              </w:rPr>
              <w:t>1,7 %</w:t>
            </w:r>
          </w:p>
        </w:tc>
        <w:tc>
          <w:tcPr>
            <w:tcW w:type="dxa" w:w="1234"/>
          </w:tcPr>
          <w:p>
            <w:pPr>
              <w:jc w:val="right"/>
            </w:pPr>
            <w:r/>
            <w:r>
              <w:rPr>
                <w:sz w:val="19"/>
              </w:rPr>
              <w:t>1,14 %</w:t>
            </w:r>
          </w:p>
        </w:tc>
      </w:tr>
      <w:tr>
        <w:tc>
          <w:tcPr>
            <w:tcW w:type="dxa" w:w="1234"/>
          </w:tcPr>
          <w:p>
            <w:r/>
            <w:r>
              <w:rPr>
                <w:sz w:val="19"/>
              </w:rPr>
              <w:t>EcoShield Pest Solutions</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5 537</w:t>
            </w:r>
          </w:p>
        </w:tc>
        <w:tc>
          <w:tcPr>
            <w:tcW w:type="dxa" w:w="1234"/>
          </w:tcPr>
          <w:p>
            <w:pPr>
              <w:jc w:val="right"/>
            </w:pPr>
            <w:r/>
            <w:r>
              <w:rPr>
                <w:sz w:val="19"/>
              </w:rPr>
              <w:t>49</w:t>
            </w:r>
          </w:p>
        </w:tc>
        <w:tc>
          <w:tcPr>
            <w:tcW w:type="dxa" w:w="1234"/>
          </w:tcPr>
          <w:p>
            <w:pPr>
              <w:jc w:val="right"/>
            </w:pPr>
            <w:r/>
            <w:r>
              <w:rPr>
                <w:sz w:val="19"/>
              </w:rPr>
              <w:t>0,9 %</w:t>
            </w:r>
          </w:p>
        </w:tc>
        <w:tc>
          <w:tcPr>
            <w:tcW w:type="dxa" w:w="1234"/>
          </w:tcPr>
          <w:p>
            <w:pPr>
              <w:jc w:val="right"/>
            </w:pPr>
            <w:r/>
            <w:r>
              <w:rPr>
                <w:sz w:val="19"/>
              </w:rPr>
              <w:t>1,03 %</w:t>
            </w:r>
          </w:p>
        </w:tc>
      </w:tr>
      <w:tr>
        <w:tc>
          <w:tcPr>
            <w:tcW w:type="dxa" w:w="1234"/>
          </w:tcPr>
          <w:p>
            <w:r/>
            <w:r>
              <w:rPr>
                <w:sz w:val="19"/>
              </w:rPr>
              <w:t>Bulwark Exterminating</w:t>
            </w:r>
          </w:p>
        </w:tc>
        <w:tc>
          <w:tcPr>
            <w:tcW w:type="dxa" w:w="1234"/>
          </w:tcPr>
          <w:p>
            <w:r/>
            <w:r>
              <w:rPr>
                <w:sz w:val="19"/>
              </w:rPr>
              <w:t>Services à domicile</w:t>
            </w:r>
          </w:p>
        </w:tc>
        <w:tc>
          <w:tcPr>
            <w:tcW w:type="dxa" w:w="1234"/>
          </w:tcPr>
          <w:p>
            <w:r/>
            <w:r>
              <w:rPr>
                <w:sz w:val="19"/>
              </w:rPr>
              <w:t>US</w:t>
            </w:r>
          </w:p>
        </w:tc>
        <w:tc>
          <w:tcPr>
            <w:tcW w:type="dxa" w:w="1234"/>
          </w:tcPr>
          <w:p>
            <w:pPr>
              <w:jc w:val="right"/>
            </w:pPr>
            <w:r/>
            <w:r>
              <w:rPr>
                <w:sz w:val="19"/>
              </w:rPr>
              <w:t>5 071</w:t>
            </w:r>
          </w:p>
        </w:tc>
        <w:tc>
          <w:tcPr>
            <w:tcW w:type="dxa" w:w="1234"/>
          </w:tcPr>
          <w:p>
            <w:pPr>
              <w:jc w:val="right"/>
            </w:pPr>
            <w:r/>
            <w:r>
              <w:rPr>
                <w:sz w:val="19"/>
              </w:rPr>
              <w:t>49</w:t>
            </w:r>
          </w:p>
        </w:tc>
        <w:tc>
          <w:tcPr>
            <w:tcW w:type="dxa" w:w="1234"/>
          </w:tcPr>
          <w:p>
            <w:pPr>
              <w:jc w:val="right"/>
            </w:pPr>
            <w:r/>
            <w:r>
              <w:rPr>
                <w:sz w:val="19"/>
              </w:rPr>
              <w:t>1,0 %</w:t>
            </w:r>
          </w:p>
        </w:tc>
        <w:tc>
          <w:tcPr>
            <w:tcW w:type="dxa" w:w="1234"/>
          </w:tcPr>
          <w:p>
            <w:pPr>
              <w:jc w:val="right"/>
            </w:pPr>
            <w:r/>
            <w:r>
              <w:rPr>
                <w:sz w:val="19"/>
              </w:rPr>
              <w:t>1,03 %</w:t>
            </w:r>
          </w:p>
        </w:tc>
      </w:tr>
      <w:tr>
        <w:tc>
          <w:tcPr>
            <w:tcW w:type="dxa" w:w="1234"/>
          </w:tcPr>
          <w:p>
            <w:r/>
            <w:r>
              <w:rPr>
                <w:sz w:val="19"/>
              </w:rPr>
              <w:t>Ichiban Japanese Bistro</w:t>
            </w:r>
          </w:p>
        </w:tc>
        <w:tc>
          <w:tcPr>
            <w:tcW w:type="dxa" w:w="1234"/>
          </w:tcPr>
          <w:p>
            <w:r/>
            <w:r>
              <w:rPr>
                <w:sz w:val="19"/>
              </w:rPr>
              <w:t>Restauration</w:t>
            </w:r>
          </w:p>
        </w:tc>
        <w:tc>
          <w:tcPr>
            <w:tcW w:type="dxa" w:w="1234"/>
          </w:tcPr>
          <w:p>
            <w:r/>
            <w:r>
              <w:rPr>
                <w:sz w:val="19"/>
              </w:rPr>
              <w:t>US</w:t>
            </w:r>
          </w:p>
        </w:tc>
        <w:tc>
          <w:tcPr>
            <w:tcW w:type="dxa" w:w="1234"/>
          </w:tcPr>
          <w:p>
            <w:pPr>
              <w:jc w:val="right"/>
            </w:pPr>
            <w:r/>
            <w:r>
              <w:rPr>
                <w:sz w:val="19"/>
              </w:rPr>
              <w:t>4 102</w:t>
            </w:r>
          </w:p>
        </w:tc>
        <w:tc>
          <w:tcPr>
            <w:tcW w:type="dxa" w:w="1234"/>
          </w:tcPr>
          <w:p>
            <w:pPr>
              <w:jc w:val="right"/>
            </w:pPr>
            <w:r/>
            <w:r>
              <w:rPr>
                <w:sz w:val="19"/>
              </w:rPr>
              <w:t>48</w:t>
            </w:r>
          </w:p>
        </w:tc>
        <w:tc>
          <w:tcPr>
            <w:tcW w:type="dxa" w:w="1234"/>
          </w:tcPr>
          <w:p>
            <w:pPr>
              <w:jc w:val="right"/>
            </w:pPr>
            <w:r/>
            <w:r>
              <w:rPr>
                <w:sz w:val="19"/>
              </w:rPr>
              <w:t>1,2 %</w:t>
            </w:r>
          </w:p>
        </w:tc>
        <w:tc>
          <w:tcPr>
            <w:tcW w:type="dxa" w:w="1234"/>
          </w:tcPr>
          <w:p>
            <w:pPr>
              <w:jc w:val="right"/>
            </w:pPr>
            <w:r/>
            <w:r>
              <w:rPr>
                <w:sz w:val="19"/>
              </w:rPr>
              <w:t>1,01 %</w:t>
            </w:r>
          </w:p>
        </w:tc>
      </w:tr>
    </w:tbl>
    <w:p/>
    <w:p>
      <w:r>
        <w:t>Les deux premières sont les salles de sport espagnoles attaquées, déjà documentées : 364 suppressions à elles deux, soit 7,7 % du total. Les suivantes sont les chaînes américaines de traitement antiparasitaire, également déjà repérées. Ces deux groupes sont connus ; le reste de la liste ne l'est pas, et c'est là que se trouve le travail qui reste.</w:t>
      </w:r>
    </w:p>
    <w:p>
      <w:pPr>
        <w:pStyle w:val="Heading1"/>
      </w:pPr>
      <w:r>
        <w:t>Ce que ces chiffres ne disent pas</w:t>
      </w:r>
    </w:p>
    <w:p>
      <w:pPr>
        <w:pStyle w:val="ListBullet"/>
      </w:pPr>
      <w:r>
        <w:t>Une fiche très touchée n'est pas forcément une fiche attaquée. L'attaque par faux avis, le retrait obtenu sur demande du commerçant et le tri automatique produisent le même motif dans les données.</w:t>
      </w:r>
    </w:p>
    <w:p>
      <w:pPr>
        <w:pStyle w:val="ListBullet"/>
      </w:pPr>
      <w:r>
        <w:t>La comparaison au tirage proportionnel suppose qu'à taille égale toutes les fiches courent le même risque. Le secteur, le pays et l'âge des avis ne sont pas tenus constants ici ; une partie de l'écart vient donc de là.</w:t>
      </w:r>
    </w:p>
    <w:p>
      <w:pPr>
        <w:pStyle w:val="ListBullet"/>
      </w:pPr>
      <w:r>
        <w:t>Les 8 997 fiches suivies sont celles qui portent au moins un avis. Le panel en compte 9 048, dont 51 sans aucun avis dans la table.</w:t>
      </w:r>
    </w:p>
    <w:p>
      <w:pPr>
        <w:pStyle w:val="ListBullet"/>
      </w:pPr>
      <w:r>
        <w:t>On ne voit que quatorze jours. Une fiche épargnée pendant le suivi a pu être purgée avant le 11 août.</w:t>
      </w:r>
    </w:p>
    <w:p>
      <w:r>
        <w:rPr>
          <w:i/>
          <w:color w:val="52514E"/>
          <w:sz w:val="21"/>
        </w:rPr>
        <w:t>Définition d'une suppression : etude-exploratoire/scripts/suppressions_corrigees.py, importée telle quelle — absence de deux jours ou plus, bugs d'enregistrement retirés. Régénérer avec etudes-ponctuelles/2026-09-18-concentration-suppressions/concentration.py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