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Panel 03B, analyses complémentaires</w:t>
      </w:r>
    </w:p>
    <w:p>
      <w:pPr>
        <w:pStyle w:val="Heading1"/>
      </w:pPr>
      <w:r>
        <w:t>1. Suppressions par secteur</w:t>
      </w:r>
    </w:p>
    <w:p>
      <w:r>
        <w:t>Panel 03B : avis publiés du 4 au 17 août 2026, suivis jusqu'au relevé du 24 août. 35 751 avis sur 5 566 fiches, 1 355 suppressions.</w:t>
      </w:r>
    </w:p>
    <w:p>
      <w:pPr>
        <w:pStyle w:val="TitreTableau"/>
      </w:pPr>
      <w:r>
        <w:t>Tableau 1. Avis et suppressions par secteur</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2268"/>
        <w:gridCol w:w="1701"/>
        <w:gridCol w:w="1474"/>
        <w:gridCol w:w="1927"/>
        <w:gridCol w:w="1701"/>
      </w:tblGrid>
      <w:tr>
        <w:tc>
          <w:tcPr>
            <w:tcW w:type="dxa" w:w="2268"/>
            <w:vAlign w:val="center"/>
            <w:shd w:val="clear" w:color="auto" w:fill="322954"/>
          </w:tcPr>
          <w:p>
            <w:pPr>
              <w:spacing w:after="0"/>
              <w:jc w:val="left"/>
            </w:pPr>
            <w:r>
              <w:rPr>
                <w:b/>
                <w:color w:val="FFFFFF"/>
                <w:sz w:val="18"/>
              </w:rPr>
              <w:t>Secteur</w:t>
            </w:r>
          </w:p>
        </w:tc>
        <w:tc>
          <w:tcPr>
            <w:tcW w:type="dxa" w:w="1701"/>
            <w:vAlign w:val="center"/>
            <w:shd w:val="clear" w:color="auto" w:fill="322954"/>
          </w:tcPr>
          <w:p>
            <w:pPr>
              <w:spacing w:after="0"/>
              <w:jc w:val="right"/>
            </w:pPr>
            <w:r>
              <w:rPr>
                <w:b/>
                <w:color w:val="FFFFFF"/>
                <w:sz w:val="18"/>
              </w:rPr>
              <w:t>Avis du secteur</w:t>
            </w:r>
          </w:p>
        </w:tc>
        <w:tc>
          <w:tcPr>
            <w:tcW w:type="dxa" w:w="1474"/>
            <w:vAlign w:val="center"/>
            <w:shd w:val="clear" w:color="auto" w:fill="322954"/>
          </w:tcPr>
          <w:p>
            <w:pPr>
              <w:spacing w:after="0"/>
              <w:jc w:val="right"/>
            </w:pPr>
            <w:r>
              <w:rPr>
                <w:b/>
                <w:color w:val="FFFFFF"/>
                <w:sz w:val="18"/>
              </w:rPr>
              <w:t>% du corpus</w:t>
            </w:r>
          </w:p>
        </w:tc>
        <w:tc>
          <w:tcPr>
            <w:tcW w:type="dxa" w:w="1928"/>
            <w:vAlign w:val="center"/>
            <w:shd w:val="clear" w:color="auto" w:fill="322954"/>
          </w:tcPr>
          <w:p>
            <w:pPr>
              <w:spacing w:after="0"/>
              <w:jc w:val="right"/>
            </w:pPr>
            <w:r>
              <w:rPr>
                <w:b/>
                <w:color w:val="FFFFFF"/>
                <w:sz w:val="18"/>
              </w:rPr>
              <w:t>Nombre de suppressions</w:t>
            </w:r>
          </w:p>
        </w:tc>
        <w:tc>
          <w:tcPr>
            <w:tcW w:type="dxa" w:w="1701"/>
            <w:vAlign w:val="center"/>
            <w:shd w:val="clear" w:color="auto" w:fill="322954"/>
          </w:tcPr>
          <w:p>
            <w:pPr>
              <w:spacing w:after="0"/>
              <w:jc w:val="right"/>
            </w:pPr>
            <w:r>
              <w:rPr>
                <w:b/>
                <w:color w:val="FFFFFF"/>
                <w:sz w:val="18"/>
              </w:rPr>
              <w:t>% de suppression</w:t>
            </w:r>
          </w:p>
        </w:tc>
      </w:tr>
      <w:tr>
        <w:tc>
          <w:tcPr>
            <w:tcW w:type="dxa" w:w="2268"/>
            <w:vAlign w:val="center"/>
          </w:tcPr>
          <w:p>
            <w:pPr>
              <w:spacing w:after="0"/>
              <w:jc w:val="left"/>
            </w:pPr>
            <w:r>
              <w:rPr>
                <w:sz w:val="18"/>
              </w:rPr>
              <w:t>Automobile</w:t>
            </w:r>
          </w:p>
        </w:tc>
        <w:tc>
          <w:tcPr>
            <w:tcW w:type="dxa" w:w="1701"/>
            <w:vAlign w:val="center"/>
          </w:tcPr>
          <w:p>
            <w:pPr>
              <w:spacing w:after="0"/>
              <w:jc w:val="right"/>
            </w:pPr>
            <w:r>
              <w:rPr>
                <w:sz w:val="18"/>
              </w:rPr>
              <w:t>4 589</w:t>
            </w:r>
          </w:p>
        </w:tc>
        <w:tc>
          <w:tcPr>
            <w:tcW w:type="dxa" w:w="1474"/>
            <w:vAlign w:val="center"/>
          </w:tcPr>
          <w:p>
            <w:pPr>
              <w:spacing w:after="0"/>
              <w:jc w:val="right"/>
            </w:pPr>
            <w:r>
              <w:rPr>
                <w:sz w:val="18"/>
              </w:rPr>
              <w:t>12,8 %</w:t>
            </w:r>
          </w:p>
        </w:tc>
        <w:tc>
          <w:tcPr>
            <w:tcW w:type="dxa" w:w="1928"/>
            <w:vAlign w:val="center"/>
          </w:tcPr>
          <w:p>
            <w:pPr>
              <w:spacing w:after="0"/>
              <w:jc w:val="right"/>
            </w:pPr>
            <w:r>
              <w:rPr>
                <w:sz w:val="18"/>
              </w:rPr>
              <w:t>118</w:t>
            </w:r>
          </w:p>
        </w:tc>
        <w:tc>
          <w:tcPr>
            <w:tcW w:type="dxa" w:w="1701"/>
            <w:vAlign w:val="center"/>
          </w:tcPr>
          <w:p>
            <w:pPr>
              <w:spacing w:after="0"/>
              <w:jc w:val="right"/>
            </w:pPr>
            <w:r>
              <w:rPr>
                <w:sz w:val="18"/>
              </w:rPr>
              <w:t>2,57 %</w:t>
            </w:r>
          </w:p>
        </w:tc>
      </w:tr>
      <w:tr>
        <w:tc>
          <w:tcPr>
            <w:tcW w:type="dxa" w:w="2268"/>
            <w:vAlign w:val="center"/>
            <w:shd w:val="clear" w:color="auto" w:fill="F4F4F7"/>
          </w:tcPr>
          <w:p>
            <w:pPr>
              <w:spacing w:after="0"/>
              <w:jc w:val="left"/>
            </w:pPr>
            <w:r>
              <w:rPr>
                <w:sz w:val="18"/>
              </w:rPr>
              <w:t>Services à domicile</w:t>
            </w:r>
          </w:p>
        </w:tc>
        <w:tc>
          <w:tcPr>
            <w:tcW w:type="dxa" w:w="1701"/>
            <w:vAlign w:val="center"/>
            <w:shd w:val="clear" w:color="auto" w:fill="F4F4F7"/>
          </w:tcPr>
          <w:p>
            <w:pPr>
              <w:spacing w:after="0"/>
              <w:jc w:val="right"/>
            </w:pPr>
            <w:r>
              <w:rPr>
                <w:sz w:val="18"/>
              </w:rPr>
              <w:t>6 465</w:t>
            </w:r>
          </w:p>
        </w:tc>
        <w:tc>
          <w:tcPr>
            <w:tcW w:type="dxa" w:w="1474"/>
            <w:vAlign w:val="center"/>
            <w:shd w:val="clear" w:color="auto" w:fill="F4F4F7"/>
          </w:tcPr>
          <w:p>
            <w:pPr>
              <w:spacing w:after="0"/>
              <w:jc w:val="right"/>
            </w:pPr>
            <w:r>
              <w:rPr>
                <w:sz w:val="18"/>
              </w:rPr>
              <w:t>18,1 %</w:t>
            </w:r>
          </w:p>
        </w:tc>
        <w:tc>
          <w:tcPr>
            <w:tcW w:type="dxa" w:w="1928"/>
            <w:vAlign w:val="center"/>
            <w:shd w:val="clear" w:color="auto" w:fill="F4F4F7"/>
          </w:tcPr>
          <w:p>
            <w:pPr>
              <w:spacing w:after="0"/>
              <w:jc w:val="right"/>
            </w:pPr>
            <w:r>
              <w:rPr>
                <w:sz w:val="18"/>
              </w:rPr>
              <w:t>681</w:t>
            </w:r>
          </w:p>
        </w:tc>
        <w:tc>
          <w:tcPr>
            <w:tcW w:type="dxa" w:w="1701"/>
            <w:vAlign w:val="center"/>
            <w:shd w:val="clear" w:color="auto" w:fill="F4F4F7"/>
          </w:tcPr>
          <w:p>
            <w:pPr>
              <w:spacing w:after="0"/>
              <w:jc w:val="right"/>
            </w:pPr>
            <w:r>
              <w:rPr>
                <w:sz w:val="18"/>
              </w:rPr>
              <w:t>10,53 %</w:t>
            </w:r>
          </w:p>
        </w:tc>
      </w:tr>
      <w:tr>
        <w:tc>
          <w:tcPr>
            <w:tcW w:type="dxa" w:w="2268"/>
            <w:vAlign w:val="center"/>
          </w:tcPr>
          <w:p>
            <w:pPr>
              <w:spacing w:after="0"/>
              <w:jc w:val="left"/>
            </w:pPr>
            <w:r>
              <w:rPr>
                <w:sz w:val="18"/>
              </w:rPr>
              <w:t>Santé</w:t>
            </w:r>
          </w:p>
        </w:tc>
        <w:tc>
          <w:tcPr>
            <w:tcW w:type="dxa" w:w="1701"/>
            <w:vAlign w:val="center"/>
          </w:tcPr>
          <w:p>
            <w:pPr>
              <w:spacing w:after="0"/>
              <w:jc w:val="right"/>
            </w:pPr>
            <w:r>
              <w:rPr>
                <w:sz w:val="18"/>
              </w:rPr>
              <w:t>4 345</w:t>
            </w:r>
          </w:p>
        </w:tc>
        <w:tc>
          <w:tcPr>
            <w:tcW w:type="dxa" w:w="1474"/>
            <w:vAlign w:val="center"/>
          </w:tcPr>
          <w:p>
            <w:pPr>
              <w:spacing w:after="0"/>
              <w:jc w:val="right"/>
            </w:pPr>
            <w:r>
              <w:rPr>
                <w:sz w:val="18"/>
              </w:rPr>
              <w:t>12,2 %</w:t>
            </w:r>
          </w:p>
        </w:tc>
        <w:tc>
          <w:tcPr>
            <w:tcW w:type="dxa" w:w="1928"/>
            <w:vAlign w:val="center"/>
          </w:tcPr>
          <w:p>
            <w:pPr>
              <w:spacing w:after="0"/>
              <w:jc w:val="right"/>
            </w:pPr>
            <w:r>
              <w:rPr>
                <w:sz w:val="18"/>
              </w:rPr>
              <w:t>136</w:t>
            </w:r>
          </w:p>
        </w:tc>
        <w:tc>
          <w:tcPr>
            <w:tcW w:type="dxa" w:w="1701"/>
            <w:vAlign w:val="center"/>
          </w:tcPr>
          <w:p>
            <w:pPr>
              <w:spacing w:after="0"/>
              <w:jc w:val="right"/>
            </w:pPr>
            <w:r>
              <w:rPr>
                <w:sz w:val="18"/>
              </w:rPr>
              <w:t>3,13 %</w:t>
            </w:r>
          </w:p>
        </w:tc>
      </w:tr>
      <w:tr>
        <w:tc>
          <w:tcPr>
            <w:tcW w:type="dxa" w:w="2268"/>
            <w:vAlign w:val="center"/>
            <w:shd w:val="clear" w:color="auto" w:fill="F4F4F7"/>
          </w:tcPr>
          <w:p>
            <w:pPr>
              <w:spacing w:after="0"/>
              <w:jc w:val="left"/>
            </w:pPr>
            <w:r>
              <w:rPr>
                <w:sz w:val="18"/>
              </w:rPr>
              <w:t>Sport et bien-être</w:t>
            </w:r>
          </w:p>
        </w:tc>
        <w:tc>
          <w:tcPr>
            <w:tcW w:type="dxa" w:w="1701"/>
            <w:vAlign w:val="center"/>
            <w:shd w:val="clear" w:color="auto" w:fill="F4F4F7"/>
          </w:tcPr>
          <w:p>
            <w:pPr>
              <w:spacing w:after="0"/>
              <w:jc w:val="right"/>
            </w:pPr>
            <w:r>
              <w:rPr>
                <w:sz w:val="18"/>
              </w:rPr>
              <w:t>3 472</w:t>
            </w:r>
          </w:p>
        </w:tc>
        <w:tc>
          <w:tcPr>
            <w:tcW w:type="dxa" w:w="1474"/>
            <w:vAlign w:val="center"/>
            <w:shd w:val="clear" w:color="auto" w:fill="F4F4F7"/>
          </w:tcPr>
          <w:p>
            <w:pPr>
              <w:spacing w:after="0"/>
              <w:jc w:val="right"/>
            </w:pPr>
            <w:r>
              <w:rPr>
                <w:sz w:val="18"/>
              </w:rPr>
              <w:t>9,7 %</w:t>
            </w:r>
          </w:p>
        </w:tc>
        <w:tc>
          <w:tcPr>
            <w:tcW w:type="dxa" w:w="1928"/>
            <w:vAlign w:val="center"/>
            <w:shd w:val="clear" w:color="auto" w:fill="F4F4F7"/>
          </w:tcPr>
          <w:p>
            <w:pPr>
              <w:spacing w:after="0"/>
              <w:jc w:val="right"/>
            </w:pPr>
            <w:r>
              <w:rPr>
                <w:sz w:val="18"/>
              </w:rPr>
              <w:t>131</w:t>
            </w:r>
          </w:p>
        </w:tc>
        <w:tc>
          <w:tcPr>
            <w:tcW w:type="dxa" w:w="1701"/>
            <w:vAlign w:val="center"/>
            <w:shd w:val="clear" w:color="auto" w:fill="F4F4F7"/>
          </w:tcPr>
          <w:p>
            <w:pPr>
              <w:spacing w:after="0"/>
              <w:jc w:val="right"/>
            </w:pPr>
            <w:r>
              <w:rPr>
                <w:sz w:val="18"/>
              </w:rPr>
              <w:t>3,77 %</w:t>
            </w:r>
          </w:p>
        </w:tc>
      </w:tr>
      <w:tr>
        <w:tc>
          <w:tcPr>
            <w:tcW w:type="dxa" w:w="2268"/>
            <w:vAlign w:val="center"/>
          </w:tcPr>
          <w:p>
            <w:pPr>
              <w:spacing w:after="0"/>
              <w:jc w:val="left"/>
            </w:pPr>
            <w:r>
              <w:rPr>
                <w:sz w:val="18"/>
              </w:rPr>
              <w:t>Restauration</w:t>
            </w:r>
          </w:p>
        </w:tc>
        <w:tc>
          <w:tcPr>
            <w:tcW w:type="dxa" w:w="1701"/>
            <w:vAlign w:val="center"/>
          </w:tcPr>
          <w:p>
            <w:pPr>
              <w:spacing w:after="0"/>
              <w:jc w:val="right"/>
            </w:pPr>
            <w:r>
              <w:rPr>
                <w:sz w:val="18"/>
              </w:rPr>
              <w:t>7 020</w:t>
            </w:r>
          </w:p>
        </w:tc>
        <w:tc>
          <w:tcPr>
            <w:tcW w:type="dxa" w:w="1474"/>
            <w:vAlign w:val="center"/>
          </w:tcPr>
          <w:p>
            <w:pPr>
              <w:spacing w:after="0"/>
              <w:jc w:val="right"/>
            </w:pPr>
            <w:r>
              <w:rPr>
                <w:sz w:val="18"/>
              </w:rPr>
              <w:t>19,6 %</w:t>
            </w:r>
          </w:p>
        </w:tc>
        <w:tc>
          <w:tcPr>
            <w:tcW w:type="dxa" w:w="1928"/>
            <w:vAlign w:val="center"/>
          </w:tcPr>
          <w:p>
            <w:pPr>
              <w:spacing w:after="0"/>
              <w:jc w:val="right"/>
            </w:pPr>
            <w:r>
              <w:rPr>
                <w:sz w:val="18"/>
              </w:rPr>
              <w:t>108</w:t>
            </w:r>
          </w:p>
        </w:tc>
        <w:tc>
          <w:tcPr>
            <w:tcW w:type="dxa" w:w="1701"/>
            <w:vAlign w:val="center"/>
          </w:tcPr>
          <w:p>
            <w:pPr>
              <w:spacing w:after="0"/>
              <w:jc w:val="right"/>
            </w:pPr>
            <w:r>
              <w:rPr>
                <w:sz w:val="18"/>
              </w:rPr>
              <w:t>1,54 %</w:t>
            </w:r>
          </w:p>
        </w:tc>
      </w:tr>
      <w:tr>
        <w:tc>
          <w:tcPr>
            <w:tcW w:type="dxa" w:w="2268"/>
            <w:vAlign w:val="center"/>
            <w:shd w:val="clear" w:color="auto" w:fill="F4F4F7"/>
          </w:tcPr>
          <w:p>
            <w:pPr>
              <w:spacing w:after="0"/>
              <w:jc w:val="left"/>
            </w:pPr>
            <w:r>
              <w:rPr>
                <w:sz w:val="18"/>
              </w:rPr>
              <w:t>Voyage</w:t>
            </w:r>
          </w:p>
        </w:tc>
        <w:tc>
          <w:tcPr>
            <w:tcW w:type="dxa" w:w="1701"/>
            <w:vAlign w:val="center"/>
            <w:shd w:val="clear" w:color="auto" w:fill="F4F4F7"/>
          </w:tcPr>
          <w:p>
            <w:pPr>
              <w:spacing w:after="0"/>
              <w:jc w:val="right"/>
            </w:pPr>
            <w:r>
              <w:rPr>
                <w:sz w:val="18"/>
              </w:rPr>
              <w:t>2 507</w:t>
            </w:r>
          </w:p>
        </w:tc>
        <w:tc>
          <w:tcPr>
            <w:tcW w:type="dxa" w:w="1474"/>
            <w:vAlign w:val="center"/>
            <w:shd w:val="clear" w:color="auto" w:fill="F4F4F7"/>
          </w:tcPr>
          <w:p>
            <w:pPr>
              <w:spacing w:after="0"/>
              <w:jc w:val="right"/>
            </w:pPr>
            <w:r>
              <w:rPr>
                <w:sz w:val="18"/>
              </w:rPr>
              <w:t>7,0 %</w:t>
            </w:r>
          </w:p>
        </w:tc>
        <w:tc>
          <w:tcPr>
            <w:tcW w:type="dxa" w:w="1928"/>
            <w:vAlign w:val="center"/>
            <w:shd w:val="clear" w:color="auto" w:fill="F4F4F7"/>
          </w:tcPr>
          <w:p>
            <w:pPr>
              <w:spacing w:after="0"/>
              <w:jc w:val="right"/>
            </w:pPr>
            <w:r>
              <w:rPr>
                <w:sz w:val="18"/>
              </w:rPr>
              <w:t>67</w:t>
            </w:r>
          </w:p>
        </w:tc>
        <w:tc>
          <w:tcPr>
            <w:tcW w:type="dxa" w:w="1701"/>
            <w:vAlign w:val="center"/>
            <w:shd w:val="clear" w:color="auto" w:fill="F4F4F7"/>
          </w:tcPr>
          <w:p>
            <w:pPr>
              <w:spacing w:after="0"/>
              <w:jc w:val="right"/>
            </w:pPr>
            <w:r>
              <w:rPr>
                <w:sz w:val="18"/>
              </w:rPr>
              <w:t>2,67 %</w:t>
            </w:r>
          </w:p>
        </w:tc>
      </w:tr>
      <w:tr>
        <w:tc>
          <w:tcPr>
            <w:tcW w:type="dxa" w:w="2268"/>
            <w:vAlign w:val="center"/>
          </w:tcPr>
          <w:p>
            <w:pPr>
              <w:spacing w:after="0"/>
              <w:jc w:val="left"/>
            </w:pPr>
            <w:r>
              <w:rPr>
                <w:sz w:val="18"/>
              </w:rPr>
              <w:t>Hôtellerie</w:t>
            </w:r>
          </w:p>
        </w:tc>
        <w:tc>
          <w:tcPr>
            <w:tcW w:type="dxa" w:w="1701"/>
            <w:vAlign w:val="center"/>
          </w:tcPr>
          <w:p>
            <w:pPr>
              <w:spacing w:after="0"/>
              <w:jc w:val="right"/>
            </w:pPr>
            <w:r>
              <w:rPr>
                <w:sz w:val="18"/>
              </w:rPr>
              <w:t>7 353</w:t>
            </w:r>
          </w:p>
        </w:tc>
        <w:tc>
          <w:tcPr>
            <w:tcW w:type="dxa" w:w="1474"/>
            <w:vAlign w:val="center"/>
          </w:tcPr>
          <w:p>
            <w:pPr>
              <w:spacing w:after="0"/>
              <w:jc w:val="right"/>
            </w:pPr>
            <w:r>
              <w:rPr>
                <w:sz w:val="18"/>
              </w:rPr>
              <w:t>20,6 %</w:t>
            </w:r>
          </w:p>
        </w:tc>
        <w:tc>
          <w:tcPr>
            <w:tcW w:type="dxa" w:w="1928"/>
            <w:vAlign w:val="center"/>
          </w:tcPr>
          <w:p>
            <w:pPr>
              <w:spacing w:after="0"/>
              <w:jc w:val="right"/>
            </w:pPr>
            <w:r>
              <w:rPr>
                <w:sz w:val="18"/>
              </w:rPr>
              <w:t>114</w:t>
            </w:r>
          </w:p>
        </w:tc>
        <w:tc>
          <w:tcPr>
            <w:tcW w:type="dxa" w:w="1701"/>
            <w:vAlign w:val="center"/>
          </w:tcPr>
          <w:p>
            <w:pPr>
              <w:spacing w:after="0"/>
              <w:jc w:val="right"/>
            </w:pPr>
            <w:r>
              <w:rPr>
                <w:sz w:val="18"/>
              </w:rPr>
              <w:t>1,55 %</w:t>
            </w:r>
          </w:p>
        </w:tc>
      </w:tr>
      <w:tr>
        <w:tc>
          <w:tcPr>
            <w:tcW w:type="dxa" w:w="2268"/>
            <w:vAlign w:val="center"/>
          </w:tcPr>
          <w:p>
            <w:pPr>
              <w:spacing w:after="0"/>
              <w:jc w:val="left"/>
            </w:pPr>
            <w:r>
              <w:rPr>
                <w:b/>
                <w:sz w:val="18"/>
              </w:rPr>
              <w:t>Total</w:t>
            </w:r>
          </w:p>
        </w:tc>
        <w:tc>
          <w:tcPr>
            <w:tcW w:type="dxa" w:w="1701"/>
            <w:vAlign w:val="center"/>
          </w:tcPr>
          <w:p>
            <w:pPr>
              <w:spacing w:after="0"/>
              <w:jc w:val="right"/>
            </w:pPr>
            <w:r>
              <w:rPr>
                <w:b/>
                <w:sz w:val="18"/>
              </w:rPr>
              <w:t>35 751</w:t>
            </w:r>
          </w:p>
        </w:tc>
        <w:tc>
          <w:tcPr>
            <w:tcW w:type="dxa" w:w="1474"/>
            <w:vAlign w:val="center"/>
          </w:tcPr>
          <w:p>
            <w:pPr>
              <w:spacing w:after="0"/>
              <w:jc w:val="right"/>
            </w:pPr>
            <w:r>
              <w:rPr>
                <w:b/>
                <w:sz w:val="18"/>
              </w:rPr>
              <w:t>100 %</w:t>
            </w:r>
          </w:p>
        </w:tc>
        <w:tc>
          <w:tcPr>
            <w:tcW w:type="dxa" w:w="1928"/>
            <w:vAlign w:val="center"/>
          </w:tcPr>
          <w:p>
            <w:pPr>
              <w:spacing w:after="0"/>
              <w:jc w:val="right"/>
            </w:pPr>
            <w:r>
              <w:rPr>
                <w:b/>
                <w:sz w:val="18"/>
              </w:rPr>
              <w:t>1 355</w:t>
            </w:r>
          </w:p>
        </w:tc>
        <w:tc>
          <w:tcPr>
            <w:tcW w:type="dxa" w:w="1701"/>
            <w:vAlign w:val="center"/>
          </w:tcPr>
          <w:p>
            <w:pPr>
              <w:spacing w:after="0"/>
              <w:jc w:val="right"/>
            </w:pPr>
            <w:r>
              <w:rPr>
                <w:b/>
                <w:sz w:val="18"/>
              </w:rPr>
              <w:t>3,79 %</w:t>
            </w:r>
          </w:p>
        </w:tc>
      </w:tr>
    </w:tbl>
    <w:p>
      <w:pPr>
        <w:pStyle w:val="NoteTableau"/>
      </w:pPr>
      <w:r>
        <w:t>% de suppression : suppressions du secteur divisées par ses avis. Corpus : les avis du panel 03B.</w:t>
      </w:r>
    </w:p>
    <w:p>
      <w:pPr>
        <w:pStyle w:val="TitreTableau"/>
      </w:pPr>
      <w:r>
        <w:t>Tableau 2. Même tableau, sans les six enseignes signalées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2268"/>
        <w:gridCol w:w="1701"/>
        <w:gridCol w:w="1474"/>
        <w:gridCol w:w="1927"/>
        <w:gridCol w:w="1701"/>
      </w:tblGrid>
      <w:tr>
        <w:tc>
          <w:tcPr>
            <w:tcW w:type="dxa" w:w="2268"/>
            <w:vAlign w:val="center"/>
            <w:shd w:val="clear" w:color="auto" w:fill="322954"/>
          </w:tcPr>
          <w:p>
            <w:pPr>
              <w:spacing w:after="0"/>
              <w:jc w:val="left"/>
            </w:pPr>
            <w:r>
              <w:rPr>
                <w:b/>
                <w:color w:val="FFFFFF"/>
                <w:sz w:val="18"/>
              </w:rPr>
              <w:t>Secteur</w:t>
            </w:r>
          </w:p>
        </w:tc>
        <w:tc>
          <w:tcPr>
            <w:tcW w:type="dxa" w:w="1701"/>
            <w:vAlign w:val="center"/>
            <w:shd w:val="clear" w:color="auto" w:fill="322954"/>
          </w:tcPr>
          <w:p>
            <w:pPr>
              <w:spacing w:after="0"/>
              <w:jc w:val="right"/>
            </w:pPr>
            <w:r>
              <w:rPr>
                <w:b/>
                <w:color w:val="FFFFFF"/>
                <w:sz w:val="18"/>
              </w:rPr>
              <w:t>Avis du secteur</w:t>
            </w:r>
          </w:p>
        </w:tc>
        <w:tc>
          <w:tcPr>
            <w:tcW w:type="dxa" w:w="1474"/>
            <w:vAlign w:val="center"/>
            <w:shd w:val="clear" w:color="auto" w:fill="322954"/>
          </w:tcPr>
          <w:p>
            <w:pPr>
              <w:spacing w:after="0"/>
              <w:jc w:val="right"/>
            </w:pPr>
            <w:r>
              <w:rPr>
                <w:b/>
                <w:color w:val="FFFFFF"/>
                <w:sz w:val="18"/>
              </w:rPr>
              <w:t>% du corpus</w:t>
            </w:r>
          </w:p>
        </w:tc>
        <w:tc>
          <w:tcPr>
            <w:tcW w:type="dxa" w:w="1928"/>
            <w:vAlign w:val="center"/>
            <w:shd w:val="clear" w:color="auto" w:fill="322954"/>
          </w:tcPr>
          <w:p>
            <w:pPr>
              <w:spacing w:after="0"/>
              <w:jc w:val="right"/>
            </w:pPr>
            <w:r>
              <w:rPr>
                <w:b/>
                <w:color w:val="FFFFFF"/>
                <w:sz w:val="18"/>
              </w:rPr>
              <w:t>Nombre de suppressions</w:t>
            </w:r>
          </w:p>
        </w:tc>
        <w:tc>
          <w:tcPr>
            <w:tcW w:type="dxa" w:w="1701"/>
            <w:vAlign w:val="center"/>
            <w:shd w:val="clear" w:color="auto" w:fill="322954"/>
          </w:tcPr>
          <w:p>
            <w:pPr>
              <w:spacing w:after="0"/>
              <w:jc w:val="right"/>
            </w:pPr>
            <w:r>
              <w:rPr>
                <w:b/>
                <w:color w:val="FFFFFF"/>
                <w:sz w:val="18"/>
              </w:rPr>
              <w:t>% de suppression</w:t>
            </w:r>
          </w:p>
        </w:tc>
      </w:tr>
      <w:tr>
        <w:tc>
          <w:tcPr>
            <w:tcW w:type="dxa" w:w="2268"/>
            <w:vAlign w:val="center"/>
          </w:tcPr>
          <w:p>
            <w:pPr>
              <w:spacing w:after="0"/>
              <w:jc w:val="left"/>
            </w:pPr>
            <w:r>
              <w:rPr>
                <w:sz w:val="18"/>
              </w:rPr>
              <w:t>Automobile</w:t>
            </w:r>
          </w:p>
        </w:tc>
        <w:tc>
          <w:tcPr>
            <w:tcW w:type="dxa" w:w="1701"/>
            <w:vAlign w:val="center"/>
          </w:tcPr>
          <w:p>
            <w:pPr>
              <w:spacing w:after="0"/>
              <w:jc w:val="right"/>
            </w:pPr>
            <w:r>
              <w:rPr>
                <w:sz w:val="18"/>
              </w:rPr>
              <w:t>4 589</w:t>
            </w:r>
          </w:p>
        </w:tc>
        <w:tc>
          <w:tcPr>
            <w:tcW w:type="dxa" w:w="1474"/>
            <w:vAlign w:val="center"/>
          </w:tcPr>
          <w:p>
            <w:pPr>
              <w:spacing w:after="0"/>
              <w:jc w:val="right"/>
            </w:pPr>
            <w:r>
              <w:rPr>
                <w:sz w:val="18"/>
              </w:rPr>
              <w:t>13,9 %</w:t>
            </w:r>
          </w:p>
        </w:tc>
        <w:tc>
          <w:tcPr>
            <w:tcW w:type="dxa" w:w="1928"/>
            <w:vAlign w:val="center"/>
          </w:tcPr>
          <w:p>
            <w:pPr>
              <w:spacing w:after="0"/>
              <w:jc w:val="right"/>
            </w:pPr>
            <w:r>
              <w:rPr>
                <w:sz w:val="18"/>
              </w:rPr>
              <w:t>118</w:t>
            </w:r>
          </w:p>
        </w:tc>
        <w:tc>
          <w:tcPr>
            <w:tcW w:type="dxa" w:w="1701"/>
            <w:vAlign w:val="center"/>
          </w:tcPr>
          <w:p>
            <w:pPr>
              <w:spacing w:after="0"/>
              <w:jc w:val="right"/>
            </w:pPr>
            <w:r>
              <w:rPr>
                <w:sz w:val="18"/>
              </w:rPr>
              <w:t>2,57 %</w:t>
            </w:r>
          </w:p>
        </w:tc>
      </w:tr>
      <w:tr>
        <w:tc>
          <w:tcPr>
            <w:tcW w:type="dxa" w:w="2268"/>
            <w:vAlign w:val="center"/>
            <w:shd w:val="clear" w:color="auto" w:fill="F4F4F7"/>
          </w:tcPr>
          <w:p>
            <w:pPr>
              <w:spacing w:after="0"/>
              <w:jc w:val="left"/>
            </w:pPr>
            <w:r>
              <w:rPr>
                <w:sz w:val="18"/>
              </w:rPr>
              <w:t>Services à domicile</w:t>
            </w:r>
          </w:p>
        </w:tc>
        <w:tc>
          <w:tcPr>
            <w:tcW w:type="dxa" w:w="1701"/>
            <w:vAlign w:val="center"/>
            <w:shd w:val="clear" w:color="auto" w:fill="F4F4F7"/>
          </w:tcPr>
          <w:p>
            <w:pPr>
              <w:spacing w:after="0"/>
              <w:jc w:val="right"/>
            </w:pPr>
            <w:r>
              <w:rPr>
                <w:sz w:val="18"/>
              </w:rPr>
              <w:t>3 820</w:t>
            </w:r>
          </w:p>
        </w:tc>
        <w:tc>
          <w:tcPr>
            <w:tcW w:type="dxa" w:w="1474"/>
            <w:vAlign w:val="center"/>
            <w:shd w:val="clear" w:color="auto" w:fill="F4F4F7"/>
          </w:tcPr>
          <w:p>
            <w:pPr>
              <w:spacing w:after="0"/>
              <w:jc w:val="right"/>
            </w:pPr>
            <w:r>
              <w:rPr>
                <w:sz w:val="18"/>
              </w:rPr>
              <w:t>11,5 %</w:t>
            </w:r>
          </w:p>
        </w:tc>
        <w:tc>
          <w:tcPr>
            <w:tcW w:type="dxa" w:w="1928"/>
            <w:vAlign w:val="center"/>
            <w:shd w:val="clear" w:color="auto" w:fill="F4F4F7"/>
          </w:tcPr>
          <w:p>
            <w:pPr>
              <w:spacing w:after="0"/>
              <w:jc w:val="right"/>
            </w:pPr>
            <w:r>
              <w:rPr>
                <w:sz w:val="18"/>
              </w:rPr>
              <w:t>220</w:t>
            </w:r>
          </w:p>
        </w:tc>
        <w:tc>
          <w:tcPr>
            <w:tcW w:type="dxa" w:w="1701"/>
            <w:vAlign w:val="center"/>
            <w:shd w:val="clear" w:color="auto" w:fill="F4F4F7"/>
          </w:tcPr>
          <w:p>
            <w:pPr>
              <w:spacing w:after="0"/>
              <w:jc w:val="right"/>
            </w:pPr>
            <w:r>
              <w:rPr>
                <w:sz w:val="18"/>
              </w:rPr>
              <w:t>5,76 %</w:t>
            </w:r>
          </w:p>
        </w:tc>
      </w:tr>
      <w:tr>
        <w:tc>
          <w:tcPr>
            <w:tcW w:type="dxa" w:w="2268"/>
            <w:vAlign w:val="center"/>
          </w:tcPr>
          <w:p>
            <w:pPr>
              <w:spacing w:after="0"/>
              <w:jc w:val="left"/>
            </w:pPr>
            <w:r>
              <w:rPr>
                <w:sz w:val="18"/>
              </w:rPr>
              <w:t>Santé</w:t>
            </w:r>
          </w:p>
        </w:tc>
        <w:tc>
          <w:tcPr>
            <w:tcW w:type="dxa" w:w="1701"/>
            <w:vAlign w:val="center"/>
          </w:tcPr>
          <w:p>
            <w:pPr>
              <w:spacing w:after="0"/>
              <w:jc w:val="right"/>
            </w:pPr>
            <w:r>
              <w:rPr>
                <w:sz w:val="18"/>
              </w:rPr>
              <w:t>4 345</w:t>
            </w:r>
          </w:p>
        </w:tc>
        <w:tc>
          <w:tcPr>
            <w:tcW w:type="dxa" w:w="1474"/>
            <w:vAlign w:val="center"/>
          </w:tcPr>
          <w:p>
            <w:pPr>
              <w:spacing w:after="0"/>
              <w:jc w:val="right"/>
            </w:pPr>
            <w:r>
              <w:rPr>
                <w:sz w:val="18"/>
              </w:rPr>
              <w:t>13,1 %</w:t>
            </w:r>
          </w:p>
        </w:tc>
        <w:tc>
          <w:tcPr>
            <w:tcW w:type="dxa" w:w="1928"/>
            <w:vAlign w:val="center"/>
          </w:tcPr>
          <w:p>
            <w:pPr>
              <w:spacing w:after="0"/>
              <w:jc w:val="right"/>
            </w:pPr>
            <w:r>
              <w:rPr>
                <w:sz w:val="18"/>
              </w:rPr>
              <w:t>136</w:t>
            </w:r>
          </w:p>
        </w:tc>
        <w:tc>
          <w:tcPr>
            <w:tcW w:type="dxa" w:w="1701"/>
            <w:vAlign w:val="center"/>
          </w:tcPr>
          <w:p>
            <w:pPr>
              <w:spacing w:after="0"/>
              <w:jc w:val="right"/>
            </w:pPr>
            <w:r>
              <w:rPr>
                <w:sz w:val="18"/>
              </w:rPr>
              <w:t>3,13 %</w:t>
            </w:r>
          </w:p>
        </w:tc>
      </w:tr>
      <w:tr>
        <w:tc>
          <w:tcPr>
            <w:tcW w:type="dxa" w:w="2268"/>
            <w:vAlign w:val="center"/>
            <w:shd w:val="clear" w:color="auto" w:fill="F4F4F7"/>
          </w:tcPr>
          <w:p>
            <w:pPr>
              <w:spacing w:after="0"/>
              <w:jc w:val="left"/>
            </w:pPr>
            <w:r>
              <w:rPr>
                <w:sz w:val="18"/>
              </w:rPr>
              <w:t>Sport et bien-être</w:t>
            </w:r>
          </w:p>
        </w:tc>
        <w:tc>
          <w:tcPr>
            <w:tcW w:type="dxa" w:w="1701"/>
            <w:vAlign w:val="center"/>
            <w:shd w:val="clear" w:color="auto" w:fill="F4F4F7"/>
          </w:tcPr>
          <w:p>
            <w:pPr>
              <w:spacing w:after="0"/>
              <w:jc w:val="right"/>
            </w:pPr>
            <w:r>
              <w:rPr>
                <w:sz w:val="18"/>
              </w:rPr>
              <w:t>3 448</w:t>
            </w:r>
          </w:p>
        </w:tc>
        <w:tc>
          <w:tcPr>
            <w:tcW w:type="dxa" w:w="1474"/>
            <w:vAlign w:val="center"/>
            <w:shd w:val="clear" w:color="auto" w:fill="F4F4F7"/>
          </w:tcPr>
          <w:p>
            <w:pPr>
              <w:spacing w:after="0"/>
              <w:jc w:val="right"/>
            </w:pPr>
            <w:r>
              <w:rPr>
                <w:sz w:val="18"/>
              </w:rPr>
              <w:t>10,4 %</w:t>
            </w:r>
          </w:p>
        </w:tc>
        <w:tc>
          <w:tcPr>
            <w:tcW w:type="dxa" w:w="1928"/>
            <w:vAlign w:val="center"/>
            <w:shd w:val="clear" w:color="auto" w:fill="F4F4F7"/>
          </w:tcPr>
          <w:p>
            <w:pPr>
              <w:spacing w:after="0"/>
              <w:jc w:val="right"/>
            </w:pPr>
            <w:r>
              <w:rPr>
                <w:sz w:val="18"/>
              </w:rPr>
              <w:t>108</w:t>
            </w:r>
          </w:p>
        </w:tc>
        <w:tc>
          <w:tcPr>
            <w:tcW w:type="dxa" w:w="1701"/>
            <w:vAlign w:val="center"/>
            <w:shd w:val="clear" w:color="auto" w:fill="F4F4F7"/>
          </w:tcPr>
          <w:p>
            <w:pPr>
              <w:spacing w:after="0"/>
              <w:jc w:val="right"/>
            </w:pPr>
            <w:r>
              <w:rPr>
                <w:sz w:val="18"/>
              </w:rPr>
              <w:t>3,13 %</w:t>
            </w:r>
          </w:p>
        </w:tc>
      </w:tr>
      <w:tr>
        <w:tc>
          <w:tcPr>
            <w:tcW w:type="dxa" w:w="2268"/>
            <w:vAlign w:val="center"/>
          </w:tcPr>
          <w:p>
            <w:pPr>
              <w:spacing w:after="0"/>
              <w:jc w:val="left"/>
            </w:pPr>
            <w:r>
              <w:rPr>
                <w:sz w:val="18"/>
              </w:rPr>
              <w:t>Restauration</w:t>
            </w:r>
          </w:p>
        </w:tc>
        <w:tc>
          <w:tcPr>
            <w:tcW w:type="dxa" w:w="1701"/>
            <w:vAlign w:val="center"/>
          </w:tcPr>
          <w:p>
            <w:pPr>
              <w:spacing w:after="0"/>
              <w:jc w:val="right"/>
            </w:pPr>
            <w:r>
              <w:rPr>
                <w:sz w:val="18"/>
              </w:rPr>
              <w:t>7 020</w:t>
            </w:r>
          </w:p>
        </w:tc>
        <w:tc>
          <w:tcPr>
            <w:tcW w:type="dxa" w:w="1474"/>
            <w:vAlign w:val="center"/>
          </w:tcPr>
          <w:p>
            <w:pPr>
              <w:spacing w:after="0"/>
              <w:jc w:val="right"/>
            </w:pPr>
            <w:r>
              <w:rPr>
                <w:sz w:val="18"/>
              </w:rPr>
              <w:t>21,2 %</w:t>
            </w:r>
          </w:p>
        </w:tc>
        <w:tc>
          <w:tcPr>
            <w:tcW w:type="dxa" w:w="1928"/>
            <w:vAlign w:val="center"/>
          </w:tcPr>
          <w:p>
            <w:pPr>
              <w:spacing w:after="0"/>
              <w:jc w:val="right"/>
            </w:pPr>
            <w:r>
              <w:rPr>
                <w:sz w:val="18"/>
              </w:rPr>
              <w:t>108</w:t>
            </w:r>
          </w:p>
        </w:tc>
        <w:tc>
          <w:tcPr>
            <w:tcW w:type="dxa" w:w="1701"/>
            <w:vAlign w:val="center"/>
          </w:tcPr>
          <w:p>
            <w:pPr>
              <w:spacing w:after="0"/>
              <w:jc w:val="right"/>
            </w:pPr>
            <w:r>
              <w:rPr>
                <w:sz w:val="18"/>
              </w:rPr>
              <w:t>1,54 %</w:t>
            </w:r>
          </w:p>
        </w:tc>
      </w:tr>
      <w:tr>
        <w:tc>
          <w:tcPr>
            <w:tcW w:type="dxa" w:w="2268"/>
            <w:vAlign w:val="center"/>
            <w:shd w:val="clear" w:color="auto" w:fill="F4F4F7"/>
          </w:tcPr>
          <w:p>
            <w:pPr>
              <w:spacing w:after="0"/>
              <w:jc w:val="left"/>
            </w:pPr>
            <w:r>
              <w:rPr>
                <w:sz w:val="18"/>
              </w:rPr>
              <w:t>Voyage</w:t>
            </w:r>
          </w:p>
        </w:tc>
        <w:tc>
          <w:tcPr>
            <w:tcW w:type="dxa" w:w="1701"/>
            <w:vAlign w:val="center"/>
            <w:shd w:val="clear" w:color="auto" w:fill="F4F4F7"/>
          </w:tcPr>
          <w:p>
            <w:pPr>
              <w:spacing w:after="0"/>
              <w:jc w:val="right"/>
            </w:pPr>
            <w:r>
              <w:rPr>
                <w:sz w:val="18"/>
              </w:rPr>
              <w:t>2 507</w:t>
            </w:r>
          </w:p>
        </w:tc>
        <w:tc>
          <w:tcPr>
            <w:tcW w:type="dxa" w:w="1474"/>
            <w:vAlign w:val="center"/>
            <w:shd w:val="clear" w:color="auto" w:fill="F4F4F7"/>
          </w:tcPr>
          <w:p>
            <w:pPr>
              <w:spacing w:after="0"/>
              <w:jc w:val="right"/>
            </w:pPr>
            <w:r>
              <w:rPr>
                <w:sz w:val="18"/>
              </w:rPr>
              <w:t>7,6 %</w:t>
            </w:r>
          </w:p>
        </w:tc>
        <w:tc>
          <w:tcPr>
            <w:tcW w:type="dxa" w:w="1928"/>
            <w:vAlign w:val="center"/>
            <w:shd w:val="clear" w:color="auto" w:fill="F4F4F7"/>
          </w:tcPr>
          <w:p>
            <w:pPr>
              <w:spacing w:after="0"/>
              <w:jc w:val="right"/>
            </w:pPr>
            <w:r>
              <w:rPr>
                <w:sz w:val="18"/>
              </w:rPr>
              <w:t>67</w:t>
            </w:r>
          </w:p>
        </w:tc>
        <w:tc>
          <w:tcPr>
            <w:tcW w:type="dxa" w:w="1701"/>
            <w:vAlign w:val="center"/>
            <w:shd w:val="clear" w:color="auto" w:fill="F4F4F7"/>
          </w:tcPr>
          <w:p>
            <w:pPr>
              <w:spacing w:after="0"/>
              <w:jc w:val="right"/>
            </w:pPr>
            <w:r>
              <w:rPr>
                <w:sz w:val="18"/>
              </w:rPr>
              <w:t>2,67 %</w:t>
            </w:r>
          </w:p>
        </w:tc>
      </w:tr>
      <w:tr>
        <w:tc>
          <w:tcPr>
            <w:tcW w:type="dxa" w:w="2268"/>
            <w:vAlign w:val="center"/>
          </w:tcPr>
          <w:p>
            <w:pPr>
              <w:spacing w:after="0"/>
              <w:jc w:val="left"/>
            </w:pPr>
            <w:r>
              <w:rPr>
                <w:sz w:val="18"/>
              </w:rPr>
              <w:t>Hôtellerie</w:t>
            </w:r>
          </w:p>
        </w:tc>
        <w:tc>
          <w:tcPr>
            <w:tcW w:type="dxa" w:w="1701"/>
            <w:vAlign w:val="center"/>
          </w:tcPr>
          <w:p>
            <w:pPr>
              <w:spacing w:after="0"/>
              <w:jc w:val="right"/>
            </w:pPr>
            <w:r>
              <w:rPr>
                <w:sz w:val="18"/>
              </w:rPr>
              <w:t>7 353</w:t>
            </w:r>
          </w:p>
        </w:tc>
        <w:tc>
          <w:tcPr>
            <w:tcW w:type="dxa" w:w="1474"/>
            <w:vAlign w:val="center"/>
          </w:tcPr>
          <w:p>
            <w:pPr>
              <w:spacing w:after="0"/>
              <w:jc w:val="right"/>
            </w:pPr>
            <w:r>
              <w:rPr>
                <w:sz w:val="18"/>
              </w:rPr>
              <w:t>22,2 %</w:t>
            </w:r>
          </w:p>
        </w:tc>
        <w:tc>
          <w:tcPr>
            <w:tcW w:type="dxa" w:w="1928"/>
            <w:vAlign w:val="center"/>
          </w:tcPr>
          <w:p>
            <w:pPr>
              <w:spacing w:after="0"/>
              <w:jc w:val="right"/>
            </w:pPr>
            <w:r>
              <w:rPr>
                <w:sz w:val="18"/>
              </w:rPr>
              <w:t>114</w:t>
            </w:r>
          </w:p>
        </w:tc>
        <w:tc>
          <w:tcPr>
            <w:tcW w:type="dxa" w:w="1701"/>
            <w:vAlign w:val="center"/>
          </w:tcPr>
          <w:p>
            <w:pPr>
              <w:spacing w:after="0"/>
              <w:jc w:val="right"/>
            </w:pPr>
            <w:r>
              <w:rPr>
                <w:sz w:val="18"/>
              </w:rPr>
              <w:t>1,55 %</w:t>
            </w:r>
          </w:p>
        </w:tc>
      </w:tr>
      <w:tr>
        <w:tc>
          <w:tcPr>
            <w:tcW w:type="dxa" w:w="2268"/>
            <w:vAlign w:val="center"/>
          </w:tcPr>
          <w:p>
            <w:pPr>
              <w:spacing w:after="0"/>
              <w:jc w:val="left"/>
            </w:pPr>
            <w:r>
              <w:rPr>
                <w:b/>
                <w:sz w:val="18"/>
              </w:rPr>
              <w:t>Total</w:t>
            </w:r>
          </w:p>
        </w:tc>
        <w:tc>
          <w:tcPr>
            <w:tcW w:type="dxa" w:w="1701"/>
            <w:vAlign w:val="center"/>
          </w:tcPr>
          <w:p>
            <w:pPr>
              <w:spacing w:after="0"/>
              <w:jc w:val="right"/>
            </w:pPr>
            <w:r>
              <w:rPr>
                <w:b/>
                <w:sz w:val="18"/>
              </w:rPr>
              <w:t>33 082</w:t>
            </w:r>
          </w:p>
        </w:tc>
        <w:tc>
          <w:tcPr>
            <w:tcW w:type="dxa" w:w="1474"/>
            <w:vAlign w:val="center"/>
          </w:tcPr>
          <w:p>
            <w:pPr>
              <w:spacing w:after="0"/>
              <w:jc w:val="right"/>
            </w:pPr>
            <w:r>
              <w:rPr>
                <w:b/>
                <w:sz w:val="18"/>
              </w:rPr>
              <w:t>100 %</w:t>
            </w:r>
          </w:p>
        </w:tc>
        <w:tc>
          <w:tcPr>
            <w:tcW w:type="dxa" w:w="1928"/>
            <w:vAlign w:val="center"/>
          </w:tcPr>
          <w:p>
            <w:pPr>
              <w:spacing w:after="0"/>
              <w:jc w:val="right"/>
            </w:pPr>
            <w:r>
              <w:rPr>
                <w:b/>
                <w:sz w:val="18"/>
              </w:rPr>
              <w:t>871</w:t>
            </w:r>
          </w:p>
        </w:tc>
        <w:tc>
          <w:tcPr>
            <w:tcW w:type="dxa" w:w="1701"/>
            <w:vAlign w:val="center"/>
          </w:tcPr>
          <w:p>
            <w:pPr>
              <w:spacing w:after="0"/>
              <w:jc w:val="right"/>
            </w:pPr>
            <w:r>
              <w:rPr>
                <w:b/>
                <w:sz w:val="18"/>
              </w:rPr>
              <w:t>2,63 %</w:t>
            </w:r>
          </w:p>
        </w:tc>
      </w:tr>
    </w:tbl>
    <w:p>
      <w:pPr>
        <w:pStyle w:val="NoteTableau"/>
      </w:pPr>
      <w:r>
        <w:t>Enseignes signalées : les 4 chaînes antiparasitaires américaines (services à domicile), succursales comprises, et les 2 salles de sport espagnoles attaquées (sport et bien-être). Retirés : 2 669 avis et 484 suppressions.</w:t>
      </w:r>
    </w:p>
    <w:p>
      <w:pPr>
        <w:pStyle w:val="NoteTableau"/>
      </w:pPr>
      <w:r>
        <w:t>Régénérer : calcul.py puis note.py, dossier etudes-ponctuelles/2026-09-30-secteurs-panel-03B.</w:t>
      </w:r>
    </w:p>
    <w:p>
      <w:pPr>
        <w:pStyle w:val="Heading1"/>
      </w:pPr>
      <w:r>
        <w:t>2. Réponse du commerçant : le jour où elle arrive</w:t>
      </w:r>
    </w:p>
    <w:p>
      <w:r>
        <w:t>Rappel du tableau 14 du rapport. Réponses datées du jour de l'avis ou des deux jours calendaires suivants (délai de 0, 1 ou 2 jours, soit moins de 72 heures), relevées au 2ᵉ jour. Suppressions comptées du 3ᵉ au 8ᵉ jour. Avis publiés du 10 au 16 août, vus par le robot le jour même ou le lendemain, sans les enseignes signalées : 16 212 avis en ligne au 2ᵉ jour, 380 suppressions.</w:t>
      </w:r>
    </w:p>
    <w:p>
      <w:pPr>
        <w:pStyle w:val="TitreTableau"/>
      </w:pPr>
      <w:r>
        <w:t>Tableau 3. Effet d'une réponse arrivée dans les 2 jours, selon l'habitude de la fiche</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3402"/>
        <w:gridCol w:w="2835"/>
        <w:gridCol w:w="1701"/>
      </w:tblGrid>
      <w:tr>
        <w:tc>
          <w:tcPr>
            <w:tcW w:type="dxa" w:w="3402"/>
            <w:vAlign w:val="center"/>
            <w:shd w:val="clear" w:color="auto" w:fill="322954"/>
          </w:tcPr>
          <w:p>
            <w:pPr>
              <w:spacing w:after="0"/>
              <w:jc w:val="left"/>
            </w:pPr>
            <w:r>
              <w:rPr>
                <w:b/>
                <w:color w:val="FFFFFF"/>
                <w:sz w:val="18"/>
              </w:rPr>
              <w:t>Habitude de la fiche</w:t>
            </w:r>
          </w:p>
        </w:tc>
        <w:tc>
          <w:tcPr>
            <w:tcW w:type="dxa" w:w="2835"/>
            <w:vAlign w:val="center"/>
            <w:shd w:val="clear" w:color="auto" w:fill="322954"/>
          </w:tcPr>
          <w:p>
            <w:pPr>
              <w:spacing w:after="0"/>
              <w:jc w:val="right"/>
            </w:pPr>
            <w:r>
              <w:rPr>
                <w:b/>
                <w:color w:val="FFFFFF"/>
                <w:sz w:val="18"/>
              </w:rPr>
              <w:t>Effet de la réponse</w:t>
            </w:r>
          </w:p>
        </w:tc>
        <w:tc>
          <w:tcPr>
            <w:tcW w:type="dxa" w:w="1701"/>
            <w:vAlign w:val="center"/>
            <w:shd w:val="clear" w:color="auto" w:fill="322954"/>
          </w:tcPr>
          <w:p>
            <w:pPr>
              <w:spacing w:after="0"/>
              <w:jc w:val="right"/>
            </w:pPr>
            <w:r>
              <w:rPr>
                <w:b/>
                <w:color w:val="FFFFFF"/>
                <w:sz w:val="18"/>
              </w:rPr>
              <w:t>Fourchette</w:t>
            </w:r>
          </w:p>
        </w:tc>
      </w:tr>
      <w:tr>
        <w:tc>
          <w:tcPr>
            <w:tcW w:type="dxa" w:w="3402"/>
            <w:vAlign w:val="center"/>
          </w:tcPr>
          <w:p>
            <w:pPr>
              <w:spacing w:after="0"/>
              <w:jc w:val="left"/>
            </w:pPr>
            <w:r>
              <w:rPr>
                <w:sz w:val="18"/>
              </w:rPr>
              <w:t>Fiches qui répondent à plus de 75 %</w:t>
            </w:r>
          </w:p>
        </w:tc>
        <w:tc>
          <w:tcPr>
            <w:tcW w:type="dxa" w:w="2835"/>
            <w:vAlign w:val="center"/>
          </w:tcPr>
          <w:p>
            <w:pPr>
              <w:spacing w:after="0"/>
              <w:jc w:val="right"/>
            </w:pPr>
            <w:r>
              <w:rPr>
                <w:sz w:val="18"/>
              </w:rPr>
              <w:t>×0,37</w:t>
            </w:r>
          </w:p>
        </w:tc>
        <w:tc>
          <w:tcPr>
            <w:tcW w:type="dxa" w:w="1701"/>
            <w:vAlign w:val="center"/>
          </w:tcPr>
          <w:p>
            <w:pPr>
              <w:spacing w:after="0"/>
              <w:jc w:val="right"/>
            </w:pPr>
            <w:r>
              <w:rPr>
                <w:sz w:val="18"/>
              </w:rPr>
              <w:t>0,23 à 0,60</w:t>
            </w:r>
          </w:p>
        </w:tc>
      </w:tr>
      <w:tr>
        <w:tc>
          <w:tcPr>
            <w:tcW w:type="dxa" w:w="3402"/>
            <w:vAlign w:val="center"/>
            <w:shd w:val="clear" w:color="auto" w:fill="F4F4F7"/>
          </w:tcPr>
          <w:p>
            <w:pPr>
              <w:spacing w:after="0"/>
              <w:jc w:val="left"/>
            </w:pPr>
            <w:r>
              <w:rPr>
                <w:sz w:val="18"/>
              </w:rPr>
              <w:t>Fiches qui répondent à 25 à 75 %</w:t>
            </w:r>
          </w:p>
        </w:tc>
        <w:tc>
          <w:tcPr>
            <w:tcW w:type="dxa" w:w="2835"/>
            <w:vAlign w:val="center"/>
            <w:shd w:val="clear" w:color="auto" w:fill="F4F4F7"/>
          </w:tcPr>
          <w:p>
            <w:pPr>
              <w:spacing w:after="0"/>
              <w:jc w:val="right"/>
            </w:pPr>
            <w:r>
              <w:rPr>
                <w:sz w:val="18"/>
              </w:rPr>
              <w:t>×1,99</w:t>
            </w:r>
          </w:p>
        </w:tc>
        <w:tc>
          <w:tcPr>
            <w:tcW w:type="dxa" w:w="1701"/>
            <w:vAlign w:val="center"/>
            <w:shd w:val="clear" w:color="auto" w:fill="F4F4F7"/>
          </w:tcPr>
          <w:p>
            <w:pPr>
              <w:spacing w:after="0"/>
              <w:jc w:val="right"/>
            </w:pPr>
            <w:r>
              <w:rPr>
                <w:sz w:val="18"/>
              </w:rPr>
              <w:t>1,02 à 3,90</w:t>
            </w:r>
          </w:p>
        </w:tc>
      </w:tr>
      <w:tr>
        <w:tc>
          <w:tcPr>
            <w:tcW w:type="dxa" w:w="3402"/>
            <w:vAlign w:val="center"/>
          </w:tcPr>
          <w:p>
            <w:pPr>
              <w:spacing w:after="0"/>
              <w:jc w:val="left"/>
            </w:pPr>
            <w:r>
              <w:rPr>
                <w:sz w:val="18"/>
              </w:rPr>
              <w:t>Fiches qui répondent à moins de 25 %</w:t>
            </w:r>
          </w:p>
        </w:tc>
        <w:tc>
          <w:tcPr>
            <w:tcW w:type="dxa" w:w="2835"/>
            <w:vAlign w:val="center"/>
          </w:tcPr>
          <w:p>
            <w:pPr>
              <w:spacing w:after="0"/>
              <w:jc w:val="right"/>
            </w:pPr>
            <w:r>
              <w:rPr>
                <w:sz w:val="18"/>
              </w:rPr>
              <w:t>Écartée, trop peu de suppressions</w:t>
            </w:r>
          </w:p>
        </w:tc>
        <w:tc>
          <w:tcPr>
            <w:tcW w:type="dxa" w:w="1701"/>
            <w:vAlign w:val="center"/>
          </w:tcPr>
          <w:p>
            <w:pPr>
              <w:spacing w:after="0"/>
              <w:jc w:val="right"/>
            </w:pPr>
            <w:r>
              <w:rPr>
                <w:sz w:val="18"/>
              </w:rPr>
            </w:r>
          </w:p>
        </w:tc>
      </w:tr>
    </w:tbl>
    <w:p>
      <w:pPr>
        <w:pStyle w:val="NoteTableau"/>
      </w:pPr>
      <w:r>
        <w:t>Sur les fiches qui répondent à plus de 75 %, un avis répondu dans les 2 jours est supprimé 2,7 fois moins souvent qu'un avis de la même tranche resté sans réponse. Recalculé en local le 2026-09-30 : mêmes effectifs, même ×0,37.</w:t>
      </w:r>
    </w:p>
    <w:p>
      <w:pPr>
        <w:pStyle w:val="TitreTableau"/>
      </w:pPr>
      <w:r>
        <w:t>Dispositif</w:t>
      </w:r>
    </w:p>
    <w:p>
      <w:pPr>
        <w:pStyle w:val="ListBullet"/>
      </w:pPr>
      <w:r>
        <w:t>Avis publiés du 9 au 16 août, de J-2 à J+5, J étant le premier relevé du 11 août. Les avis du 17 août (J+6) sont écartés : le dernier relevé, le 24 août, ne les suit que 7 jours.</w:t>
      </w:r>
    </w:p>
    <w:p>
      <w:pPr>
        <w:pStyle w:val="ListBullet"/>
      </w:pPr>
      <w:r>
        <w:t>Pour chaque jour k, de 0 (le jour de l'avis) à 6 : on garde les avis encore en ligne au jour k et sans réponse avant ce jour. On compare ceux qui reçoivent leur réponse exactement le jour k à ceux qui n'en ont toujours pas.</w:t>
      </w:r>
    </w:p>
    <w:p>
      <w:pPr>
        <w:pStyle w:val="ListBullet"/>
      </w:pPr>
      <w:r>
        <w:t>Suppressions comptées du jour k+1 au jour 8. Un avis encore en ligne au jour 8 compte comme conservé.</w:t>
      </w:r>
    </w:p>
    <w:p>
      <w:pPr>
        <w:pStyle w:val="ListBullet"/>
      </w:pPr>
      <w:r>
        <w:t>Un avis n'entre au jour k que si le robot l'a vu au plus tard à cet âge. Les avis du 9 août, vus pour la première fois le 11, entrent à partir du jour 2. Au jour 0, seuls restent les avis vus le jour de leur publication.</w:t>
      </w:r>
    </w:p>
    <w:p>
      <w:pPr>
        <w:pStyle w:val="ListBullet"/>
      </w:pPr>
      <w:r>
        <w:t>Même modèle et mêmes variables que le tableau 3, sans les enseignes signalées.</w:t>
      </w:r>
    </w:p>
    <w:p>
      <w:pPr>
        <w:pStyle w:val="TitreTableau"/>
      </w:pPr>
      <w:r>
        <w:t>Tableau 4. Effet d'une réponse selon le jour où elle arrive, toutes les fiches</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1360"/>
        <w:gridCol w:w="1134"/>
        <w:gridCol w:w="1247"/>
        <w:gridCol w:w="1701"/>
        <w:gridCol w:w="1360"/>
        <w:gridCol w:w="1360"/>
        <w:gridCol w:w="1247"/>
      </w:tblGrid>
      <w:tr>
        <w:tc>
          <w:tcPr>
            <w:tcW w:type="dxa" w:w="1361"/>
            <w:vAlign w:val="center"/>
            <w:shd w:val="clear" w:color="auto" w:fill="322954"/>
          </w:tcPr>
          <w:p>
            <w:pPr>
              <w:spacing w:after="0"/>
              <w:jc w:val="left"/>
            </w:pPr>
            <w:r>
              <w:rPr>
                <w:b/>
                <w:color w:val="FFFFFF"/>
                <w:sz w:val="18"/>
              </w:rPr>
              <w:t>Jour de la réponse</w:t>
            </w:r>
          </w:p>
        </w:tc>
        <w:tc>
          <w:tcPr>
            <w:tcW w:type="dxa" w:w="1134"/>
            <w:vAlign w:val="center"/>
            <w:shd w:val="clear" w:color="auto" w:fill="322954"/>
          </w:tcPr>
          <w:p>
            <w:pPr>
              <w:spacing w:after="0"/>
              <w:jc w:val="right"/>
            </w:pPr>
            <w:r>
              <w:rPr>
                <w:b/>
                <w:color w:val="FFFFFF"/>
                <w:sz w:val="18"/>
              </w:rPr>
              <w:t>Avis retenus</w:t>
            </w:r>
          </w:p>
        </w:tc>
        <w:tc>
          <w:tcPr>
            <w:tcW w:type="dxa" w:w="1247"/>
            <w:vAlign w:val="center"/>
            <w:shd w:val="clear" w:color="auto" w:fill="322954"/>
          </w:tcPr>
          <w:p>
            <w:pPr>
              <w:spacing w:after="0"/>
              <w:jc w:val="right"/>
            </w:pPr>
            <w:r>
              <w:rPr>
                <w:b/>
                <w:color w:val="FFFFFF"/>
                <w:sz w:val="18"/>
              </w:rPr>
              <w:t>Répondus ce jour-là</w:t>
            </w:r>
          </w:p>
        </w:tc>
        <w:tc>
          <w:tcPr>
            <w:tcW w:type="dxa" w:w="1701"/>
            <w:vAlign w:val="center"/>
            <w:shd w:val="clear" w:color="auto" w:fill="322954"/>
          </w:tcPr>
          <w:p>
            <w:pPr>
              <w:spacing w:after="0"/>
              <w:jc w:val="right"/>
            </w:pPr>
            <w:r>
              <w:rPr>
                <w:b/>
                <w:color w:val="FFFFFF"/>
                <w:sz w:val="18"/>
              </w:rPr>
              <w:t>Suppressions des répondus (pour 10 000)</w:t>
            </w:r>
          </w:p>
        </w:tc>
        <w:tc>
          <w:tcPr>
            <w:tcW w:type="dxa" w:w="1361"/>
            <w:vAlign w:val="center"/>
            <w:shd w:val="clear" w:color="auto" w:fill="322954"/>
          </w:tcPr>
          <w:p>
            <w:pPr>
              <w:spacing w:after="0"/>
              <w:jc w:val="right"/>
            </w:pPr>
            <w:r>
              <w:rPr>
                <w:b/>
                <w:color w:val="FFFFFF"/>
                <w:sz w:val="18"/>
              </w:rPr>
              <w:t>Pour 10 000 non répondus</w:t>
            </w:r>
          </w:p>
        </w:tc>
        <w:tc>
          <w:tcPr>
            <w:tcW w:type="dxa" w:w="1361"/>
            <w:vAlign w:val="center"/>
            <w:shd w:val="clear" w:color="auto" w:fill="322954"/>
          </w:tcPr>
          <w:p>
            <w:pPr>
              <w:spacing w:after="0"/>
              <w:jc w:val="right"/>
            </w:pPr>
            <w:r>
              <w:rPr>
                <w:b/>
                <w:color w:val="FFFFFF"/>
                <w:sz w:val="18"/>
              </w:rPr>
              <w:t>Risque</w:t>
            </w:r>
          </w:p>
        </w:tc>
        <w:tc>
          <w:tcPr>
            <w:tcW w:type="dxa" w:w="1247"/>
            <w:vAlign w:val="center"/>
            <w:shd w:val="clear" w:color="auto" w:fill="322954"/>
          </w:tcPr>
          <w:p>
            <w:pPr>
              <w:spacing w:after="0"/>
              <w:jc w:val="right"/>
            </w:pPr>
            <w:r>
              <w:rPr>
                <w:b/>
                <w:color w:val="FFFFFF"/>
                <w:sz w:val="18"/>
              </w:rPr>
              <w:t>Fourchette</w:t>
            </w:r>
          </w:p>
        </w:tc>
      </w:tr>
      <w:tr>
        <w:tc>
          <w:tcPr>
            <w:tcW w:type="dxa" w:w="1361"/>
            <w:vAlign w:val="center"/>
          </w:tcPr>
          <w:p>
            <w:pPr>
              <w:spacing w:after="0"/>
              <w:jc w:val="left"/>
            </w:pPr>
            <w:r>
              <w:rPr>
                <w:sz w:val="18"/>
              </w:rPr>
              <w:t>Jour 0</w:t>
            </w:r>
          </w:p>
        </w:tc>
        <w:tc>
          <w:tcPr>
            <w:tcW w:type="dxa" w:w="1134"/>
            <w:vAlign w:val="center"/>
          </w:tcPr>
          <w:p>
            <w:pPr>
              <w:spacing w:after="0"/>
              <w:jc w:val="right"/>
            </w:pPr>
            <w:r>
              <w:rPr>
                <w:sz w:val="18"/>
              </w:rPr>
              <w:t>1 670</w:t>
            </w:r>
          </w:p>
        </w:tc>
        <w:tc>
          <w:tcPr>
            <w:tcW w:type="dxa" w:w="1247"/>
            <w:vAlign w:val="center"/>
          </w:tcPr>
          <w:p>
            <w:pPr>
              <w:spacing w:after="0"/>
              <w:jc w:val="right"/>
            </w:pPr>
            <w:r>
              <w:rPr>
                <w:sz w:val="18"/>
              </w:rPr>
              <w:t>503</w:t>
            </w:r>
          </w:p>
        </w:tc>
        <w:tc>
          <w:tcPr>
            <w:tcW w:type="dxa" w:w="1701"/>
            <w:vAlign w:val="center"/>
          </w:tcPr>
          <w:p>
            <w:pPr>
              <w:spacing w:after="0"/>
              <w:jc w:val="right"/>
            </w:pPr>
            <w:r>
              <w:rPr>
                <w:sz w:val="18"/>
              </w:rPr>
              <w:t>10 (199)</w:t>
            </w:r>
          </w:p>
        </w:tc>
        <w:tc>
          <w:tcPr>
            <w:tcW w:type="dxa" w:w="1361"/>
            <w:vAlign w:val="center"/>
          </w:tcPr>
          <w:p>
            <w:pPr>
              <w:spacing w:after="0"/>
              <w:jc w:val="right"/>
            </w:pPr>
            <w:r>
              <w:rPr>
                <w:sz w:val="18"/>
              </w:rPr>
              <w:t>488</w:t>
            </w:r>
          </w:p>
        </w:tc>
        <w:tc>
          <w:tcPr>
            <w:tcW w:type="dxa" w:w="1361"/>
            <w:vAlign w:val="center"/>
          </w:tcPr>
          <w:p>
            <w:pPr>
              <w:spacing w:after="0"/>
              <w:jc w:val="right"/>
            </w:pPr>
            <w:r>
              <w:rPr>
                <w:sz w:val="18"/>
              </w:rPr>
              <w:t>×0,45</w:t>
            </w:r>
          </w:p>
        </w:tc>
        <w:tc>
          <w:tcPr>
            <w:tcW w:type="dxa" w:w="1247"/>
            <w:vAlign w:val="center"/>
          </w:tcPr>
          <w:p>
            <w:pPr>
              <w:spacing w:after="0"/>
              <w:jc w:val="right"/>
            </w:pPr>
            <w:r>
              <w:rPr>
                <w:sz w:val="18"/>
              </w:rPr>
              <w:t>0,15 à 1,37</w:t>
            </w:r>
          </w:p>
        </w:tc>
      </w:tr>
      <w:tr>
        <w:tc>
          <w:tcPr>
            <w:tcW w:type="dxa" w:w="1361"/>
            <w:vAlign w:val="center"/>
            <w:shd w:val="clear" w:color="auto" w:fill="F4F4F7"/>
          </w:tcPr>
          <w:p>
            <w:pPr>
              <w:spacing w:after="0"/>
              <w:jc w:val="left"/>
            </w:pPr>
            <w:r>
              <w:rPr>
                <w:sz w:val="18"/>
              </w:rPr>
              <w:t>Jour 1</w:t>
            </w:r>
          </w:p>
        </w:tc>
        <w:tc>
          <w:tcPr>
            <w:tcW w:type="dxa" w:w="1134"/>
            <w:vAlign w:val="center"/>
            <w:shd w:val="clear" w:color="auto" w:fill="F4F4F7"/>
          </w:tcPr>
          <w:p>
            <w:pPr>
              <w:spacing w:after="0"/>
              <w:jc w:val="right"/>
            </w:pPr>
            <w:r>
              <w:rPr>
                <w:sz w:val="18"/>
              </w:rPr>
              <w:t>13 232</w:t>
            </w:r>
          </w:p>
        </w:tc>
        <w:tc>
          <w:tcPr>
            <w:tcW w:type="dxa" w:w="1247"/>
            <w:vAlign w:val="center"/>
            <w:shd w:val="clear" w:color="auto" w:fill="F4F4F7"/>
          </w:tcPr>
          <w:p>
            <w:pPr>
              <w:spacing w:after="0"/>
              <w:jc w:val="right"/>
            </w:pPr>
            <w:r>
              <w:rPr>
                <w:sz w:val="18"/>
              </w:rPr>
              <w:t>2 544</w:t>
            </w:r>
          </w:p>
        </w:tc>
        <w:tc>
          <w:tcPr>
            <w:tcW w:type="dxa" w:w="1701"/>
            <w:vAlign w:val="center"/>
            <w:shd w:val="clear" w:color="auto" w:fill="F4F4F7"/>
          </w:tcPr>
          <w:p>
            <w:pPr>
              <w:spacing w:after="0"/>
              <w:jc w:val="right"/>
            </w:pPr>
            <w:r>
              <w:rPr>
                <w:sz w:val="18"/>
              </w:rPr>
              <w:t>50 (197)</w:t>
            </w:r>
          </w:p>
        </w:tc>
        <w:tc>
          <w:tcPr>
            <w:tcW w:type="dxa" w:w="1361"/>
            <w:vAlign w:val="center"/>
            <w:shd w:val="clear" w:color="auto" w:fill="F4F4F7"/>
          </w:tcPr>
          <w:p>
            <w:pPr>
              <w:spacing w:after="0"/>
              <w:jc w:val="right"/>
            </w:pPr>
            <w:r>
              <w:rPr>
                <w:sz w:val="18"/>
              </w:rPr>
              <w:t>291</w:t>
            </w:r>
          </w:p>
        </w:tc>
        <w:tc>
          <w:tcPr>
            <w:tcW w:type="dxa" w:w="1361"/>
            <w:vAlign w:val="center"/>
            <w:shd w:val="clear" w:color="auto" w:fill="F4F4F7"/>
          </w:tcPr>
          <w:p>
            <w:pPr>
              <w:spacing w:after="0"/>
              <w:jc w:val="right"/>
            </w:pPr>
            <w:r>
              <w:rPr>
                <w:sz w:val="18"/>
              </w:rPr>
              <w:t>×0,57</w:t>
            </w:r>
          </w:p>
        </w:tc>
        <w:tc>
          <w:tcPr>
            <w:tcW w:type="dxa" w:w="1247"/>
            <w:vAlign w:val="center"/>
            <w:shd w:val="clear" w:color="auto" w:fill="F4F4F7"/>
          </w:tcPr>
          <w:p>
            <w:pPr>
              <w:spacing w:after="0"/>
              <w:jc w:val="right"/>
            </w:pPr>
            <w:r>
              <w:rPr>
                <w:sz w:val="18"/>
              </w:rPr>
              <w:t>0,35 à 0,91</w:t>
            </w:r>
          </w:p>
        </w:tc>
      </w:tr>
      <w:tr>
        <w:tc>
          <w:tcPr>
            <w:tcW w:type="dxa" w:w="1361"/>
            <w:vAlign w:val="center"/>
          </w:tcPr>
          <w:p>
            <w:pPr>
              <w:spacing w:after="0"/>
              <w:jc w:val="left"/>
            </w:pPr>
            <w:r>
              <w:rPr>
                <w:sz w:val="18"/>
              </w:rPr>
              <w:t>Jour 2</w:t>
            </w:r>
          </w:p>
        </w:tc>
        <w:tc>
          <w:tcPr>
            <w:tcW w:type="dxa" w:w="1134"/>
            <w:vAlign w:val="center"/>
          </w:tcPr>
          <w:p>
            <w:pPr>
              <w:spacing w:after="0"/>
              <w:jc w:val="right"/>
            </w:pPr>
            <w:r>
              <w:rPr>
                <w:sz w:val="18"/>
              </w:rPr>
              <w:t>12 085</w:t>
            </w:r>
          </w:p>
        </w:tc>
        <w:tc>
          <w:tcPr>
            <w:tcW w:type="dxa" w:w="1247"/>
            <w:vAlign w:val="center"/>
          </w:tcPr>
          <w:p>
            <w:pPr>
              <w:spacing w:after="0"/>
              <w:jc w:val="right"/>
            </w:pPr>
            <w:r>
              <w:rPr>
                <w:sz w:val="18"/>
              </w:rPr>
              <w:t>1 048</w:t>
            </w:r>
          </w:p>
        </w:tc>
        <w:tc>
          <w:tcPr>
            <w:tcW w:type="dxa" w:w="1701"/>
            <w:vAlign w:val="center"/>
          </w:tcPr>
          <w:p>
            <w:pPr>
              <w:spacing w:after="0"/>
              <w:jc w:val="right"/>
            </w:pPr>
            <w:r>
              <w:rPr>
                <w:sz w:val="18"/>
              </w:rPr>
              <w:t>15 (143)</w:t>
            </w:r>
          </w:p>
        </w:tc>
        <w:tc>
          <w:tcPr>
            <w:tcW w:type="dxa" w:w="1361"/>
            <w:vAlign w:val="center"/>
          </w:tcPr>
          <w:p>
            <w:pPr>
              <w:spacing w:after="0"/>
              <w:jc w:val="right"/>
            </w:pPr>
            <w:r>
              <w:rPr>
                <w:sz w:val="18"/>
              </w:rPr>
              <w:t>250</w:t>
            </w:r>
          </w:p>
        </w:tc>
        <w:tc>
          <w:tcPr>
            <w:tcW w:type="dxa" w:w="1361"/>
            <w:vAlign w:val="center"/>
          </w:tcPr>
          <w:p>
            <w:pPr>
              <w:spacing w:after="0"/>
              <w:jc w:val="right"/>
            </w:pPr>
            <w:r>
              <w:rPr>
                <w:sz w:val="18"/>
              </w:rPr>
              <w:t>×0,53</w:t>
            </w:r>
          </w:p>
        </w:tc>
        <w:tc>
          <w:tcPr>
            <w:tcW w:type="dxa" w:w="1247"/>
            <w:vAlign w:val="center"/>
          </w:tcPr>
          <w:p>
            <w:pPr>
              <w:spacing w:after="0"/>
              <w:jc w:val="right"/>
            </w:pPr>
            <w:r>
              <w:rPr>
                <w:sz w:val="18"/>
              </w:rPr>
              <w:t>0,26 à 1,06</w:t>
            </w:r>
          </w:p>
        </w:tc>
      </w:tr>
      <w:tr>
        <w:tc>
          <w:tcPr>
            <w:tcW w:type="dxa" w:w="1361"/>
            <w:vAlign w:val="center"/>
            <w:shd w:val="clear" w:color="auto" w:fill="F4F4F7"/>
          </w:tcPr>
          <w:p>
            <w:pPr>
              <w:spacing w:after="0"/>
              <w:jc w:val="left"/>
            </w:pPr>
            <w:r>
              <w:rPr>
                <w:sz w:val="18"/>
              </w:rPr>
              <w:t>Jour 3</w:t>
            </w:r>
          </w:p>
        </w:tc>
        <w:tc>
          <w:tcPr>
            <w:tcW w:type="dxa" w:w="1134"/>
            <w:vAlign w:val="center"/>
            <w:shd w:val="clear" w:color="auto" w:fill="F4F4F7"/>
          </w:tcPr>
          <w:p>
            <w:pPr>
              <w:spacing w:after="0"/>
              <w:jc w:val="right"/>
            </w:pPr>
            <w:r>
              <w:rPr>
                <w:sz w:val="18"/>
              </w:rPr>
              <w:t>11 049</w:t>
            </w:r>
          </w:p>
        </w:tc>
        <w:tc>
          <w:tcPr>
            <w:tcW w:type="dxa" w:w="1247"/>
            <w:vAlign w:val="center"/>
            <w:shd w:val="clear" w:color="auto" w:fill="F4F4F7"/>
          </w:tcPr>
          <w:p>
            <w:pPr>
              <w:spacing w:after="0"/>
              <w:jc w:val="right"/>
            </w:pPr>
            <w:r>
              <w:rPr>
                <w:sz w:val="18"/>
              </w:rPr>
              <w:t>706</w:t>
            </w:r>
          </w:p>
        </w:tc>
        <w:tc>
          <w:tcPr>
            <w:tcW w:type="dxa" w:w="1701"/>
            <w:vAlign w:val="center"/>
            <w:shd w:val="clear" w:color="auto" w:fill="F4F4F7"/>
          </w:tcPr>
          <w:p>
            <w:pPr>
              <w:spacing w:after="0"/>
              <w:jc w:val="right"/>
            </w:pPr>
            <w:r>
              <w:rPr>
                <w:sz w:val="18"/>
              </w:rPr>
              <w:t>0 (0)</w:t>
            </w:r>
          </w:p>
        </w:tc>
        <w:tc>
          <w:tcPr>
            <w:tcW w:type="dxa" w:w="1361"/>
            <w:vAlign w:val="center"/>
            <w:shd w:val="clear" w:color="auto" w:fill="F4F4F7"/>
          </w:tcPr>
          <w:p>
            <w:pPr>
              <w:spacing w:after="0"/>
              <w:jc w:val="right"/>
            </w:pPr>
            <w:r>
              <w:rPr>
                <w:sz w:val="18"/>
              </w:rPr>
              <w:t>244</w:t>
            </w:r>
          </w:p>
        </w:tc>
        <w:tc>
          <w:tcPr>
            <w:tcW w:type="dxa" w:w="1361"/>
            <w:vAlign w:val="center"/>
            <w:shd w:val="clear" w:color="auto" w:fill="F4F4F7"/>
          </w:tcPr>
          <w:p>
            <w:pPr>
              <w:spacing w:after="0"/>
              <w:jc w:val="right"/>
            </w:pPr>
            <w:r>
              <w:rPr>
                <w:sz w:val="18"/>
              </w:rPr>
              <w:t>Trop peu de suppressions</w:t>
            </w:r>
          </w:p>
        </w:tc>
        <w:tc>
          <w:tcPr>
            <w:tcW w:type="dxa" w:w="1247"/>
            <w:vAlign w:val="center"/>
            <w:shd w:val="clear" w:color="auto" w:fill="F4F4F7"/>
          </w:tcPr>
          <w:p>
            <w:pPr>
              <w:spacing w:after="0"/>
              <w:jc w:val="right"/>
            </w:pPr>
            <w:r>
              <w:rPr>
                <w:sz w:val="18"/>
              </w:rPr>
            </w:r>
          </w:p>
        </w:tc>
      </w:tr>
      <w:tr>
        <w:tc>
          <w:tcPr>
            <w:tcW w:type="dxa" w:w="1361"/>
            <w:vAlign w:val="center"/>
          </w:tcPr>
          <w:p>
            <w:pPr>
              <w:spacing w:after="0"/>
              <w:jc w:val="left"/>
            </w:pPr>
            <w:r>
              <w:rPr>
                <w:sz w:val="18"/>
              </w:rPr>
              <w:t>Jour 4</w:t>
            </w:r>
          </w:p>
        </w:tc>
        <w:tc>
          <w:tcPr>
            <w:tcW w:type="dxa" w:w="1134"/>
            <w:vAlign w:val="center"/>
          </w:tcPr>
          <w:p>
            <w:pPr>
              <w:spacing w:after="0"/>
              <w:jc w:val="right"/>
            </w:pPr>
            <w:r>
              <w:rPr>
                <w:sz w:val="18"/>
              </w:rPr>
              <w:t>10 359</w:t>
            </w:r>
          </w:p>
        </w:tc>
        <w:tc>
          <w:tcPr>
            <w:tcW w:type="dxa" w:w="1247"/>
            <w:vAlign w:val="center"/>
          </w:tcPr>
          <w:p>
            <w:pPr>
              <w:spacing w:after="0"/>
              <w:jc w:val="right"/>
            </w:pPr>
            <w:r>
              <w:rPr>
                <w:sz w:val="18"/>
              </w:rPr>
              <w:t>403</w:t>
            </w:r>
          </w:p>
        </w:tc>
        <w:tc>
          <w:tcPr>
            <w:tcW w:type="dxa" w:w="1701"/>
            <w:vAlign w:val="center"/>
          </w:tcPr>
          <w:p>
            <w:pPr>
              <w:spacing w:after="0"/>
              <w:jc w:val="right"/>
            </w:pPr>
            <w:r>
              <w:rPr>
                <w:sz w:val="18"/>
              </w:rPr>
              <w:t>7 (174)</w:t>
            </w:r>
          </w:p>
        </w:tc>
        <w:tc>
          <w:tcPr>
            <w:tcW w:type="dxa" w:w="1361"/>
            <w:vAlign w:val="center"/>
          </w:tcPr>
          <w:p>
            <w:pPr>
              <w:spacing w:after="0"/>
              <w:jc w:val="right"/>
            </w:pPr>
            <w:r>
              <w:rPr>
                <w:sz w:val="18"/>
              </w:rPr>
              <w:t>234</w:t>
            </w:r>
          </w:p>
        </w:tc>
        <w:tc>
          <w:tcPr>
            <w:tcW w:type="dxa" w:w="1361"/>
            <w:vAlign w:val="center"/>
          </w:tcPr>
          <w:p>
            <w:pPr>
              <w:spacing w:after="0"/>
              <w:jc w:val="right"/>
            </w:pPr>
            <w:r>
              <w:rPr>
                <w:sz w:val="18"/>
              </w:rPr>
              <w:t>×0,63</w:t>
            </w:r>
          </w:p>
        </w:tc>
        <w:tc>
          <w:tcPr>
            <w:tcW w:type="dxa" w:w="1247"/>
            <w:vAlign w:val="center"/>
          </w:tcPr>
          <w:p>
            <w:pPr>
              <w:spacing w:after="0"/>
              <w:jc w:val="right"/>
            </w:pPr>
            <w:r>
              <w:rPr>
                <w:sz w:val="18"/>
              </w:rPr>
              <w:t>0,28 à 1,38</w:t>
            </w:r>
          </w:p>
        </w:tc>
      </w:tr>
      <w:tr>
        <w:tc>
          <w:tcPr>
            <w:tcW w:type="dxa" w:w="1361"/>
            <w:vAlign w:val="center"/>
            <w:shd w:val="clear" w:color="auto" w:fill="F4F4F7"/>
          </w:tcPr>
          <w:p>
            <w:pPr>
              <w:spacing w:after="0"/>
              <w:jc w:val="left"/>
            </w:pPr>
            <w:r>
              <w:rPr>
                <w:sz w:val="18"/>
              </w:rPr>
              <w:t>Jour 5</w:t>
            </w:r>
          </w:p>
        </w:tc>
        <w:tc>
          <w:tcPr>
            <w:tcW w:type="dxa" w:w="1134"/>
            <w:vAlign w:val="center"/>
            <w:shd w:val="clear" w:color="auto" w:fill="F4F4F7"/>
          </w:tcPr>
          <w:p>
            <w:pPr>
              <w:spacing w:after="0"/>
              <w:jc w:val="right"/>
            </w:pPr>
            <w:r>
              <w:rPr>
                <w:sz w:val="18"/>
              </w:rPr>
              <w:t>9 952</w:t>
            </w:r>
          </w:p>
        </w:tc>
        <w:tc>
          <w:tcPr>
            <w:tcW w:type="dxa" w:w="1247"/>
            <w:vAlign w:val="center"/>
            <w:shd w:val="clear" w:color="auto" w:fill="F4F4F7"/>
          </w:tcPr>
          <w:p>
            <w:pPr>
              <w:spacing w:after="0"/>
              <w:jc w:val="right"/>
            </w:pPr>
            <w:r>
              <w:rPr>
                <w:sz w:val="18"/>
              </w:rPr>
              <w:t>286</w:t>
            </w:r>
          </w:p>
        </w:tc>
        <w:tc>
          <w:tcPr>
            <w:tcW w:type="dxa" w:w="1701"/>
            <w:vAlign w:val="center"/>
            <w:shd w:val="clear" w:color="auto" w:fill="F4F4F7"/>
          </w:tcPr>
          <w:p>
            <w:pPr>
              <w:spacing w:after="0"/>
              <w:jc w:val="right"/>
            </w:pPr>
            <w:r>
              <w:rPr>
                <w:sz w:val="18"/>
              </w:rPr>
              <w:t>3 (105)</w:t>
            </w:r>
          </w:p>
        </w:tc>
        <w:tc>
          <w:tcPr>
            <w:tcW w:type="dxa" w:w="1361"/>
            <w:vAlign w:val="center"/>
            <w:shd w:val="clear" w:color="auto" w:fill="F4F4F7"/>
          </w:tcPr>
          <w:p>
            <w:pPr>
              <w:spacing w:after="0"/>
              <w:jc w:val="right"/>
            </w:pPr>
            <w:r>
              <w:rPr>
                <w:sz w:val="18"/>
              </w:rPr>
              <w:t>227</w:t>
            </w:r>
          </w:p>
        </w:tc>
        <w:tc>
          <w:tcPr>
            <w:tcW w:type="dxa" w:w="1361"/>
            <w:vAlign w:val="center"/>
            <w:shd w:val="clear" w:color="auto" w:fill="F4F4F7"/>
          </w:tcPr>
          <w:p>
            <w:pPr>
              <w:spacing w:after="0"/>
              <w:jc w:val="right"/>
            </w:pPr>
            <w:r>
              <w:rPr>
                <w:sz w:val="18"/>
              </w:rPr>
              <w:t>Trop peu de suppressions</w:t>
            </w:r>
          </w:p>
        </w:tc>
        <w:tc>
          <w:tcPr>
            <w:tcW w:type="dxa" w:w="1247"/>
            <w:vAlign w:val="center"/>
            <w:shd w:val="clear" w:color="auto" w:fill="F4F4F7"/>
          </w:tcPr>
          <w:p>
            <w:pPr>
              <w:spacing w:after="0"/>
              <w:jc w:val="right"/>
            </w:pPr>
            <w:r>
              <w:rPr>
                <w:sz w:val="18"/>
              </w:rPr>
            </w:r>
          </w:p>
        </w:tc>
      </w:tr>
      <w:tr>
        <w:tc>
          <w:tcPr>
            <w:tcW w:type="dxa" w:w="1361"/>
            <w:vAlign w:val="center"/>
          </w:tcPr>
          <w:p>
            <w:pPr>
              <w:spacing w:after="0"/>
              <w:jc w:val="left"/>
            </w:pPr>
            <w:r>
              <w:rPr>
                <w:sz w:val="18"/>
              </w:rPr>
              <w:t>Jour 6</w:t>
            </w:r>
          </w:p>
        </w:tc>
        <w:tc>
          <w:tcPr>
            <w:tcW w:type="dxa" w:w="1134"/>
            <w:vAlign w:val="center"/>
          </w:tcPr>
          <w:p>
            <w:pPr>
              <w:spacing w:after="0"/>
              <w:jc w:val="right"/>
            </w:pPr>
            <w:r>
              <w:rPr>
                <w:sz w:val="18"/>
              </w:rPr>
              <w:t>9 606</w:t>
            </w:r>
          </w:p>
        </w:tc>
        <w:tc>
          <w:tcPr>
            <w:tcW w:type="dxa" w:w="1247"/>
            <w:vAlign w:val="center"/>
          </w:tcPr>
          <w:p>
            <w:pPr>
              <w:spacing w:after="0"/>
              <w:jc w:val="right"/>
            </w:pPr>
            <w:r>
              <w:rPr>
                <w:sz w:val="18"/>
              </w:rPr>
              <w:t>185</w:t>
            </w:r>
          </w:p>
        </w:tc>
        <w:tc>
          <w:tcPr>
            <w:tcW w:type="dxa" w:w="1701"/>
            <w:vAlign w:val="center"/>
          </w:tcPr>
          <w:p>
            <w:pPr>
              <w:spacing w:after="0"/>
              <w:jc w:val="right"/>
            </w:pPr>
            <w:r>
              <w:rPr>
                <w:sz w:val="18"/>
              </w:rPr>
              <w:t>0 (0)</w:t>
            </w:r>
          </w:p>
        </w:tc>
        <w:tc>
          <w:tcPr>
            <w:tcW w:type="dxa" w:w="1361"/>
            <w:vAlign w:val="center"/>
          </w:tcPr>
          <w:p>
            <w:pPr>
              <w:spacing w:after="0"/>
              <w:jc w:val="right"/>
            </w:pPr>
            <w:r>
              <w:rPr>
                <w:sz w:val="18"/>
              </w:rPr>
              <w:t>158</w:t>
            </w:r>
          </w:p>
        </w:tc>
        <w:tc>
          <w:tcPr>
            <w:tcW w:type="dxa" w:w="1361"/>
            <w:vAlign w:val="center"/>
          </w:tcPr>
          <w:p>
            <w:pPr>
              <w:spacing w:after="0"/>
              <w:jc w:val="right"/>
            </w:pPr>
            <w:r>
              <w:rPr>
                <w:sz w:val="18"/>
              </w:rPr>
              <w:t>Trop peu de suppressions</w:t>
            </w:r>
          </w:p>
        </w:tc>
        <w:tc>
          <w:tcPr>
            <w:tcW w:type="dxa" w:w="1247"/>
            <w:vAlign w:val="center"/>
          </w:tcPr>
          <w:p>
            <w:pPr>
              <w:spacing w:after="0"/>
              <w:jc w:val="right"/>
            </w:pPr>
            <w:r>
              <w:rPr>
                <w:sz w:val="18"/>
              </w:rPr>
            </w:r>
          </w:p>
        </w:tc>
      </w:tr>
    </w:tbl>
    <w:p>
      <w:pPr>
        <w:pStyle w:val="NoteTableau"/>
      </w:pPr>
      <w:r>
        <w:t>Risque : suppressions d'un avis répondu ce jour-là, rapportées à celles d'un avis encore sans réponse, à note, auteur, secteur, taille de fiche et habitude de réponse comparables. Les taux baissent d'une ligne à l'autre parce que la période de suivi raccourcit : ils se comparent au sein d'une même ligne.</w:t>
      </w:r>
    </w:p>
    <w:p>
      <w:pPr>
        <w:pStyle w:val="TitreTableau"/>
      </w:pPr>
      <w:r>
        <w:t>Tableau 5. Même mesure, fiches qui répondent à plus de 75 %</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1360"/>
        <w:gridCol w:w="1134"/>
        <w:gridCol w:w="1247"/>
        <w:gridCol w:w="1701"/>
        <w:gridCol w:w="1360"/>
        <w:gridCol w:w="1360"/>
        <w:gridCol w:w="1247"/>
      </w:tblGrid>
      <w:tr>
        <w:tc>
          <w:tcPr>
            <w:tcW w:type="dxa" w:w="1361"/>
            <w:vAlign w:val="center"/>
            <w:shd w:val="clear" w:color="auto" w:fill="322954"/>
          </w:tcPr>
          <w:p>
            <w:pPr>
              <w:spacing w:after="0"/>
              <w:jc w:val="left"/>
            </w:pPr>
            <w:r>
              <w:rPr>
                <w:b/>
                <w:color w:val="FFFFFF"/>
                <w:sz w:val="18"/>
              </w:rPr>
              <w:t>Jour de la réponse</w:t>
            </w:r>
          </w:p>
        </w:tc>
        <w:tc>
          <w:tcPr>
            <w:tcW w:type="dxa" w:w="1134"/>
            <w:vAlign w:val="center"/>
            <w:shd w:val="clear" w:color="auto" w:fill="322954"/>
          </w:tcPr>
          <w:p>
            <w:pPr>
              <w:spacing w:after="0"/>
              <w:jc w:val="right"/>
            </w:pPr>
            <w:r>
              <w:rPr>
                <w:b/>
                <w:color w:val="FFFFFF"/>
                <w:sz w:val="18"/>
              </w:rPr>
              <w:t>Avis retenus</w:t>
            </w:r>
          </w:p>
        </w:tc>
        <w:tc>
          <w:tcPr>
            <w:tcW w:type="dxa" w:w="1247"/>
            <w:vAlign w:val="center"/>
            <w:shd w:val="clear" w:color="auto" w:fill="322954"/>
          </w:tcPr>
          <w:p>
            <w:pPr>
              <w:spacing w:after="0"/>
              <w:jc w:val="right"/>
            </w:pPr>
            <w:r>
              <w:rPr>
                <w:b/>
                <w:color w:val="FFFFFF"/>
                <w:sz w:val="18"/>
              </w:rPr>
              <w:t>Répondus ce jour-là</w:t>
            </w:r>
          </w:p>
        </w:tc>
        <w:tc>
          <w:tcPr>
            <w:tcW w:type="dxa" w:w="1701"/>
            <w:vAlign w:val="center"/>
            <w:shd w:val="clear" w:color="auto" w:fill="322954"/>
          </w:tcPr>
          <w:p>
            <w:pPr>
              <w:spacing w:after="0"/>
              <w:jc w:val="right"/>
            </w:pPr>
            <w:r>
              <w:rPr>
                <w:b/>
                <w:color w:val="FFFFFF"/>
                <w:sz w:val="18"/>
              </w:rPr>
              <w:t>Suppressions des répondus (pour 10 000)</w:t>
            </w:r>
          </w:p>
        </w:tc>
        <w:tc>
          <w:tcPr>
            <w:tcW w:type="dxa" w:w="1361"/>
            <w:vAlign w:val="center"/>
            <w:shd w:val="clear" w:color="auto" w:fill="322954"/>
          </w:tcPr>
          <w:p>
            <w:pPr>
              <w:spacing w:after="0"/>
              <w:jc w:val="right"/>
            </w:pPr>
            <w:r>
              <w:rPr>
                <w:b/>
                <w:color w:val="FFFFFF"/>
                <w:sz w:val="18"/>
              </w:rPr>
              <w:t>Pour 10 000 non répondus</w:t>
            </w:r>
          </w:p>
        </w:tc>
        <w:tc>
          <w:tcPr>
            <w:tcW w:type="dxa" w:w="1361"/>
            <w:vAlign w:val="center"/>
            <w:shd w:val="clear" w:color="auto" w:fill="322954"/>
          </w:tcPr>
          <w:p>
            <w:pPr>
              <w:spacing w:after="0"/>
              <w:jc w:val="right"/>
            </w:pPr>
            <w:r>
              <w:rPr>
                <w:b/>
                <w:color w:val="FFFFFF"/>
                <w:sz w:val="18"/>
              </w:rPr>
              <w:t>Risque</w:t>
            </w:r>
          </w:p>
        </w:tc>
        <w:tc>
          <w:tcPr>
            <w:tcW w:type="dxa" w:w="1247"/>
            <w:vAlign w:val="center"/>
            <w:shd w:val="clear" w:color="auto" w:fill="322954"/>
          </w:tcPr>
          <w:p>
            <w:pPr>
              <w:spacing w:after="0"/>
              <w:jc w:val="right"/>
            </w:pPr>
            <w:r>
              <w:rPr>
                <w:b/>
                <w:color w:val="FFFFFF"/>
                <w:sz w:val="18"/>
              </w:rPr>
              <w:t>Fourchette</w:t>
            </w:r>
          </w:p>
        </w:tc>
      </w:tr>
      <w:tr>
        <w:tc>
          <w:tcPr>
            <w:tcW w:type="dxa" w:w="1361"/>
            <w:vAlign w:val="center"/>
          </w:tcPr>
          <w:p>
            <w:pPr>
              <w:spacing w:after="0"/>
              <w:jc w:val="left"/>
            </w:pPr>
            <w:r>
              <w:rPr>
                <w:sz w:val="18"/>
              </w:rPr>
              <w:t>Jour 0</w:t>
            </w:r>
          </w:p>
        </w:tc>
        <w:tc>
          <w:tcPr>
            <w:tcW w:type="dxa" w:w="1134"/>
            <w:vAlign w:val="center"/>
          </w:tcPr>
          <w:p>
            <w:pPr>
              <w:spacing w:after="0"/>
              <w:jc w:val="right"/>
            </w:pPr>
            <w:r>
              <w:rPr>
                <w:sz w:val="18"/>
              </w:rPr>
              <w:t>880</w:t>
            </w:r>
          </w:p>
        </w:tc>
        <w:tc>
          <w:tcPr>
            <w:tcW w:type="dxa" w:w="1247"/>
            <w:vAlign w:val="center"/>
          </w:tcPr>
          <w:p>
            <w:pPr>
              <w:spacing w:after="0"/>
              <w:jc w:val="right"/>
            </w:pPr>
            <w:r>
              <w:rPr>
                <w:sz w:val="18"/>
              </w:rPr>
              <w:t>444</w:t>
            </w:r>
          </w:p>
        </w:tc>
        <w:tc>
          <w:tcPr>
            <w:tcW w:type="dxa" w:w="1701"/>
            <w:vAlign w:val="center"/>
          </w:tcPr>
          <w:p>
            <w:pPr>
              <w:spacing w:after="0"/>
              <w:jc w:val="right"/>
            </w:pPr>
            <w:r>
              <w:rPr>
                <w:sz w:val="18"/>
              </w:rPr>
              <w:t>8 (180)</w:t>
            </w:r>
          </w:p>
        </w:tc>
        <w:tc>
          <w:tcPr>
            <w:tcW w:type="dxa" w:w="1361"/>
            <w:vAlign w:val="center"/>
          </w:tcPr>
          <w:p>
            <w:pPr>
              <w:spacing w:after="0"/>
              <w:jc w:val="right"/>
            </w:pPr>
            <w:r>
              <w:rPr>
                <w:sz w:val="18"/>
              </w:rPr>
              <w:t>390</w:t>
            </w:r>
          </w:p>
        </w:tc>
        <w:tc>
          <w:tcPr>
            <w:tcW w:type="dxa" w:w="1361"/>
            <w:vAlign w:val="center"/>
          </w:tcPr>
          <w:p>
            <w:pPr>
              <w:spacing w:after="0"/>
              <w:jc w:val="right"/>
            </w:pPr>
            <w:r>
              <w:rPr>
                <w:sz w:val="18"/>
              </w:rPr>
              <w:t>×0,38</w:t>
            </w:r>
          </w:p>
        </w:tc>
        <w:tc>
          <w:tcPr>
            <w:tcW w:type="dxa" w:w="1247"/>
            <w:vAlign w:val="center"/>
          </w:tcPr>
          <w:p>
            <w:pPr>
              <w:spacing w:after="0"/>
              <w:jc w:val="right"/>
            </w:pPr>
            <w:r>
              <w:rPr>
                <w:sz w:val="18"/>
              </w:rPr>
              <w:t>0,11 à 1,25</w:t>
            </w:r>
          </w:p>
        </w:tc>
      </w:tr>
      <w:tr>
        <w:tc>
          <w:tcPr>
            <w:tcW w:type="dxa" w:w="1361"/>
            <w:vAlign w:val="center"/>
            <w:shd w:val="clear" w:color="auto" w:fill="F4F4F7"/>
          </w:tcPr>
          <w:p>
            <w:pPr>
              <w:spacing w:after="0"/>
              <w:jc w:val="left"/>
            </w:pPr>
            <w:r>
              <w:rPr>
                <w:sz w:val="18"/>
              </w:rPr>
              <w:t>Jour 1</w:t>
            </w:r>
          </w:p>
        </w:tc>
        <w:tc>
          <w:tcPr>
            <w:tcW w:type="dxa" w:w="1134"/>
            <w:vAlign w:val="center"/>
            <w:shd w:val="clear" w:color="auto" w:fill="F4F4F7"/>
          </w:tcPr>
          <w:p>
            <w:pPr>
              <w:spacing w:after="0"/>
              <w:jc w:val="right"/>
            </w:pPr>
            <w:r>
              <w:rPr>
                <w:sz w:val="18"/>
              </w:rPr>
              <w:t>5 573</w:t>
            </w:r>
          </w:p>
        </w:tc>
        <w:tc>
          <w:tcPr>
            <w:tcW w:type="dxa" w:w="1247"/>
            <w:vAlign w:val="center"/>
            <w:shd w:val="clear" w:color="auto" w:fill="F4F4F7"/>
          </w:tcPr>
          <w:p>
            <w:pPr>
              <w:spacing w:after="0"/>
              <w:jc w:val="right"/>
            </w:pPr>
            <w:r>
              <w:rPr>
                <w:sz w:val="18"/>
              </w:rPr>
              <w:t>2 169</w:t>
            </w:r>
          </w:p>
        </w:tc>
        <w:tc>
          <w:tcPr>
            <w:tcW w:type="dxa" w:w="1701"/>
            <w:vAlign w:val="center"/>
            <w:shd w:val="clear" w:color="auto" w:fill="F4F4F7"/>
          </w:tcPr>
          <w:p>
            <w:pPr>
              <w:spacing w:after="0"/>
              <w:jc w:val="right"/>
            </w:pPr>
            <w:r>
              <w:rPr>
                <w:sz w:val="18"/>
              </w:rPr>
              <w:t>36 (166)</w:t>
            </w:r>
          </w:p>
        </w:tc>
        <w:tc>
          <w:tcPr>
            <w:tcW w:type="dxa" w:w="1361"/>
            <w:vAlign w:val="center"/>
            <w:shd w:val="clear" w:color="auto" w:fill="F4F4F7"/>
          </w:tcPr>
          <w:p>
            <w:pPr>
              <w:spacing w:after="0"/>
              <w:jc w:val="right"/>
            </w:pPr>
            <w:r>
              <w:rPr>
                <w:sz w:val="18"/>
              </w:rPr>
              <w:t>388</w:t>
            </w:r>
          </w:p>
        </w:tc>
        <w:tc>
          <w:tcPr>
            <w:tcW w:type="dxa" w:w="1361"/>
            <w:vAlign w:val="center"/>
            <w:shd w:val="clear" w:color="auto" w:fill="F4F4F7"/>
          </w:tcPr>
          <w:p>
            <w:pPr>
              <w:spacing w:after="0"/>
              <w:jc w:val="right"/>
            </w:pPr>
            <w:r>
              <w:rPr>
                <w:sz w:val="18"/>
              </w:rPr>
              <w:t>×0,43</w:t>
            </w:r>
          </w:p>
        </w:tc>
        <w:tc>
          <w:tcPr>
            <w:tcW w:type="dxa" w:w="1247"/>
            <w:vAlign w:val="center"/>
            <w:shd w:val="clear" w:color="auto" w:fill="F4F4F7"/>
          </w:tcPr>
          <w:p>
            <w:pPr>
              <w:spacing w:after="0"/>
              <w:jc w:val="right"/>
            </w:pPr>
            <w:r>
              <w:rPr>
                <w:sz w:val="18"/>
              </w:rPr>
              <w:t>0,27 à 0,67</w:t>
            </w:r>
          </w:p>
        </w:tc>
      </w:tr>
      <w:tr>
        <w:tc>
          <w:tcPr>
            <w:tcW w:type="dxa" w:w="1361"/>
            <w:vAlign w:val="center"/>
          </w:tcPr>
          <w:p>
            <w:pPr>
              <w:spacing w:after="0"/>
              <w:jc w:val="left"/>
            </w:pPr>
            <w:r>
              <w:rPr>
                <w:sz w:val="18"/>
              </w:rPr>
              <w:t>Jour 2</w:t>
            </w:r>
          </w:p>
        </w:tc>
        <w:tc>
          <w:tcPr>
            <w:tcW w:type="dxa" w:w="1134"/>
            <w:vAlign w:val="center"/>
          </w:tcPr>
          <w:p>
            <w:pPr>
              <w:spacing w:after="0"/>
              <w:jc w:val="right"/>
            </w:pPr>
            <w:r>
              <w:rPr>
                <w:sz w:val="18"/>
              </w:rPr>
              <w:t>3 754</w:t>
            </w:r>
          </w:p>
        </w:tc>
        <w:tc>
          <w:tcPr>
            <w:tcW w:type="dxa" w:w="1247"/>
            <w:vAlign w:val="center"/>
          </w:tcPr>
          <w:p>
            <w:pPr>
              <w:spacing w:after="0"/>
              <w:jc w:val="right"/>
            </w:pPr>
            <w:r>
              <w:rPr>
                <w:sz w:val="18"/>
              </w:rPr>
              <w:t>873</w:t>
            </w:r>
          </w:p>
        </w:tc>
        <w:tc>
          <w:tcPr>
            <w:tcW w:type="dxa" w:w="1701"/>
            <w:vAlign w:val="center"/>
          </w:tcPr>
          <w:p>
            <w:pPr>
              <w:spacing w:after="0"/>
              <w:jc w:val="right"/>
            </w:pPr>
            <w:r>
              <w:rPr>
                <w:sz w:val="18"/>
              </w:rPr>
              <w:t>10 (115)</w:t>
            </w:r>
          </w:p>
        </w:tc>
        <w:tc>
          <w:tcPr>
            <w:tcW w:type="dxa" w:w="1361"/>
            <w:vAlign w:val="center"/>
          </w:tcPr>
          <w:p>
            <w:pPr>
              <w:spacing w:after="0"/>
              <w:jc w:val="right"/>
            </w:pPr>
            <w:r>
              <w:rPr>
                <w:sz w:val="18"/>
              </w:rPr>
              <w:t>368</w:t>
            </w:r>
          </w:p>
        </w:tc>
        <w:tc>
          <w:tcPr>
            <w:tcW w:type="dxa" w:w="1361"/>
            <w:vAlign w:val="center"/>
          </w:tcPr>
          <w:p>
            <w:pPr>
              <w:spacing w:after="0"/>
              <w:jc w:val="right"/>
            </w:pPr>
            <w:r>
              <w:rPr>
                <w:sz w:val="18"/>
              </w:rPr>
              <w:t>×0,39</w:t>
            </w:r>
          </w:p>
        </w:tc>
        <w:tc>
          <w:tcPr>
            <w:tcW w:type="dxa" w:w="1247"/>
            <w:vAlign w:val="center"/>
          </w:tcPr>
          <w:p>
            <w:pPr>
              <w:spacing w:after="0"/>
              <w:jc w:val="right"/>
            </w:pPr>
            <w:r>
              <w:rPr>
                <w:sz w:val="18"/>
              </w:rPr>
              <w:t>0,18 à 0,83</w:t>
            </w:r>
          </w:p>
        </w:tc>
      </w:tr>
      <w:tr>
        <w:tc>
          <w:tcPr>
            <w:tcW w:type="dxa" w:w="1361"/>
            <w:vAlign w:val="center"/>
            <w:shd w:val="clear" w:color="auto" w:fill="F4F4F7"/>
          </w:tcPr>
          <w:p>
            <w:pPr>
              <w:spacing w:after="0"/>
              <w:jc w:val="left"/>
            </w:pPr>
            <w:r>
              <w:rPr>
                <w:sz w:val="18"/>
              </w:rPr>
              <w:t>Jour 3</w:t>
            </w:r>
          </w:p>
        </w:tc>
        <w:tc>
          <w:tcPr>
            <w:tcW w:type="dxa" w:w="1134"/>
            <w:vAlign w:val="center"/>
            <w:shd w:val="clear" w:color="auto" w:fill="F4F4F7"/>
          </w:tcPr>
          <w:p>
            <w:pPr>
              <w:spacing w:after="0"/>
              <w:jc w:val="right"/>
            </w:pPr>
            <w:r>
              <w:rPr>
                <w:sz w:val="18"/>
              </w:rPr>
              <w:t>2 894</w:t>
            </w:r>
          </w:p>
        </w:tc>
        <w:tc>
          <w:tcPr>
            <w:tcW w:type="dxa" w:w="1247"/>
            <w:vAlign w:val="center"/>
            <w:shd w:val="clear" w:color="auto" w:fill="F4F4F7"/>
          </w:tcPr>
          <w:p>
            <w:pPr>
              <w:spacing w:after="0"/>
              <w:jc w:val="right"/>
            </w:pPr>
            <w:r>
              <w:rPr>
                <w:sz w:val="18"/>
              </w:rPr>
              <w:t>597</w:t>
            </w:r>
          </w:p>
        </w:tc>
        <w:tc>
          <w:tcPr>
            <w:tcW w:type="dxa" w:w="1701"/>
            <w:vAlign w:val="center"/>
            <w:shd w:val="clear" w:color="auto" w:fill="F4F4F7"/>
          </w:tcPr>
          <w:p>
            <w:pPr>
              <w:spacing w:after="0"/>
              <w:jc w:val="right"/>
            </w:pPr>
            <w:r>
              <w:rPr>
                <w:sz w:val="18"/>
              </w:rPr>
              <w:t>0 (0)</w:t>
            </w:r>
          </w:p>
        </w:tc>
        <w:tc>
          <w:tcPr>
            <w:tcW w:type="dxa" w:w="1361"/>
            <w:vAlign w:val="center"/>
            <w:shd w:val="clear" w:color="auto" w:fill="F4F4F7"/>
          </w:tcPr>
          <w:p>
            <w:pPr>
              <w:spacing w:after="0"/>
              <w:jc w:val="right"/>
            </w:pPr>
            <w:r>
              <w:rPr>
                <w:sz w:val="18"/>
              </w:rPr>
              <w:t>422</w:t>
            </w:r>
          </w:p>
        </w:tc>
        <w:tc>
          <w:tcPr>
            <w:tcW w:type="dxa" w:w="1361"/>
            <w:vAlign w:val="center"/>
            <w:shd w:val="clear" w:color="auto" w:fill="F4F4F7"/>
          </w:tcPr>
          <w:p>
            <w:pPr>
              <w:spacing w:after="0"/>
              <w:jc w:val="right"/>
            </w:pPr>
            <w:r>
              <w:rPr>
                <w:sz w:val="18"/>
              </w:rPr>
              <w:t>Trop peu de suppressions</w:t>
            </w:r>
          </w:p>
        </w:tc>
        <w:tc>
          <w:tcPr>
            <w:tcW w:type="dxa" w:w="1247"/>
            <w:vAlign w:val="center"/>
            <w:shd w:val="clear" w:color="auto" w:fill="F4F4F7"/>
          </w:tcPr>
          <w:p>
            <w:pPr>
              <w:spacing w:after="0"/>
              <w:jc w:val="right"/>
            </w:pPr>
            <w:r>
              <w:rPr>
                <w:sz w:val="18"/>
              </w:rPr>
            </w:r>
          </w:p>
        </w:tc>
      </w:tr>
      <w:tr>
        <w:tc>
          <w:tcPr>
            <w:tcW w:type="dxa" w:w="1361"/>
            <w:vAlign w:val="center"/>
          </w:tcPr>
          <w:p>
            <w:pPr>
              <w:spacing w:after="0"/>
              <w:jc w:val="left"/>
            </w:pPr>
            <w:r>
              <w:rPr>
                <w:sz w:val="18"/>
              </w:rPr>
              <w:t>Jour 4</w:t>
            </w:r>
          </w:p>
        </w:tc>
        <w:tc>
          <w:tcPr>
            <w:tcW w:type="dxa" w:w="1134"/>
            <w:vAlign w:val="center"/>
          </w:tcPr>
          <w:p>
            <w:pPr>
              <w:spacing w:after="0"/>
              <w:jc w:val="right"/>
            </w:pPr>
            <w:r>
              <w:rPr>
                <w:sz w:val="18"/>
              </w:rPr>
              <w:t>2 306</w:t>
            </w:r>
          </w:p>
        </w:tc>
        <w:tc>
          <w:tcPr>
            <w:tcW w:type="dxa" w:w="1247"/>
            <w:vAlign w:val="center"/>
          </w:tcPr>
          <w:p>
            <w:pPr>
              <w:spacing w:after="0"/>
              <w:jc w:val="right"/>
            </w:pPr>
            <w:r>
              <w:rPr>
                <w:sz w:val="18"/>
              </w:rPr>
              <w:t>317</w:t>
            </w:r>
          </w:p>
        </w:tc>
        <w:tc>
          <w:tcPr>
            <w:tcW w:type="dxa" w:w="1701"/>
            <w:vAlign w:val="center"/>
          </w:tcPr>
          <w:p>
            <w:pPr>
              <w:spacing w:after="0"/>
              <w:jc w:val="right"/>
            </w:pPr>
            <w:r>
              <w:rPr>
                <w:sz w:val="18"/>
              </w:rPr>
              <w:t>6 (189)</w:t>
            </w:r>
          </w:p>
        </w:tc>
        <w:tc>
          <w:tcPr>
            <w:tcW w:type="dxa" w:w="1361"/>
            <w:vAlign w:val="center"/>
          </w:tcPr>
          <w:p>
            <w:pPr>
              <w:spacing w:after="0"/>
              <w:jc w:val="right"/>
            </w:pPr>
            <w:r>
              <w:rPr>
                <w:sz w:val="18"/>
              </w:rPr>
              <w:t>417</w:t>
            </w:r>
          </w:p>
        </w:tc>
        <w:tc>
          <w:tcPr>
            <w:tcW w:type="dxa" w:w="1361"/>
            <w:vAlign w:val="center"/>
          </w:tcPr>
          <w:p>
            <w:pPr>
              <w:spacing w:after="0"/>
              <w:jc w:val="right"/>
            </w:pPr>
            <w:r>
              <w:rPr>
                <w:sz w:val="18"/>
              </w:rPr>
              <w:t>×0,65</w:t>
            </w:r>
          </w:p>
        </w:tc>
        <w:tc>
          <w:tcPr>
            <w:tcW w:type="dxa" w:w="1247"/>
            <w:vAlign w:val="center"/>
          </w:tcPr>
          <w:p>
            <w:pPr>
              <w:spacing w:after="0"/>
              <w:jc w:val="right"/>
            </w:pPr>
            <w:r>
              <w:rPr>
                <w:sz w:val="18"/>
              </w:rPr>
              <w:t>0,28 à 1,55</w:t>
            </w:r>
          </w:p>
        </w:tc>
      </w:tr>
      <w:tr>
        <w:tc>
          <w:tcPr>
            <w:tcW w:type="dxa" w:w="1361"/>
            <w:vAlign w:val="center"/>
            <w:shd w:val="clear" w:color="auto" w:fill="F4F4F7"/>
          </w:tcPr>
          <w:p>
            <w:pPr>
              <w:spacing w:after="0"/>
              <w:jc w:val="left"/>
            </w:pPr>
            <w:r>
              <w:rPr>
                <w:sz w:val="18"/>
              </w:rPr>
              <w:t>Jour 5</w:t>
            </w:r>
          </w:p>
        </w:tc>
        <w:tc>
          <w:tcPr>
            <w:tcW w:type="dxa" w:w="1134"/>
            <w:vAlign w:val="center"/>
            <w:shd w:val="clear" w:color="auto" w:fill="F4F4F7"/>
          </w:tcPr>
          <w:p>
            <w:pPr>
              <w:spacing w:after="0"/>
              <w:jc w:val="right"/>
            </w:pPr>
            <w:r>
              <w:rPr>
                <w:sz w:val="18"/>
              </w:rPr>
              <w:t>1 989</w:t>
            </w:r>
          </w:p>
        </w:tc>
        <w:tc>
          <w:tcPr>
            <w:tcW w:type="dxa" w:w="1247"/>
            <w:vAlign w:val="center"/>
            <w:shd w:val="clear" w:color="auto" w:fill="F4F4F7"/>
          </w:tcPr>
          <w:p>
            <w:pPr>
              <w:spacing w:after="0"/>
              <w:jc w:val="right"/>
            </w:pPr>
            <w:r>
              <w:rPr>
                <w:sz w:val="18"/>
              </w:rPr>
              <w:t>228</w:t>
            </w:r>
          </w:p>
        </w:tc>
        <w:tc>
          <w:tcPr>
            <w:tcW w:type="dxa" w:w="1701"/>
            <w:vAlign w:val="center"/>
            <w:shd w:val="clear" w:color="auto" w:fill="F4F4F7"/>
          </w:tcPr>
          <w:p>
            <w:pPr>
              <w:spacing w:after="0"/>
              <w:jc w:val="right"/>
            </w:pPr>
            <w:r>
              <w:rPr>
                <w:sz w:val="18"/>
              </w:rPr>
              <w:t>2 (88)</w:t>
            </w:r>
          </w:p>
        </w:tc>
        <w:tc>
          <w:tcPr>
            <w:tcW w:type="dxa" w:w="1361"/>
            <w:vAlign w:val="center"/>
            <w:shd w:val="clear" w:color="auto" w:fill="F4F4F7"/>
          </w:tcPr>
          <w:p>
            <w:pPr>
              <w:spacing w:after="0"/>
              <w:jc w:val="right"/>
            </w:pPr>
            <w:r>
              <w:rPr>
                <w:sz w:val="18"/>
              </w:rPr>
              <w:t>449</w:t>
            </w:r>
          </w:p>
        </w:tc>
        <w:tc>
          <w:tcPr>
            <w:tcW w:type="dxa" w:w="1361"/>
            <w:vAlign w:val="center"/>
            <w:shd w:val="clear" w:color="auto" w:fill="F4F4F7"/>
          </w:tcPr>
          <w:p>
            <w:pPr>
              <w:spacing w:after="0"/>
              <w:jc w:val="right"/>
            </w:pPr>
            <w:r>
              <w:rPr>
                <w:sz w:val="18"/>
              </w:rPr>
              <w:t>Trop peu de suppressions</w:t>
            </w:r>
          </w:p>
        </w:tc>
        <w:tc>
          <w:tcPr>
            <w:tcW w:type="dxa" w:w="1247"/>
            <w:vAlign w:val="center"/>
            <w:shd w:val="clear" w:color="auto" w:fill="F4F4F7"/>
          </w:tcPr>
          <w:p>
            <w:pPr>
              <w:spacing w:after="0"/>
              <w:jc w:val="right"/>
            </w:pPr>
            <w:r>
              <w:rPr>
                <w:sz w:val="18"/>
              </w:rPr>
            </w:r>
          </w:p>
        </w:tc>
      </w:tr>
      <w:tr>
        <w:tc>
          <w:tcPr>
            <w:tcW w:type="dxa" w:w="1361"/>
            <w:vAlign w:val="center"/>
          </w:tcPr>
          <w:p>
            <w:pPr>
              <w:spacing w:after="0"/>
              <w:jc w:val="left"/>
            </w:pPr>
            <w:r>
              <w:rPr>
                <w:sz w:val="18"/>
              </w:rPr>
              <w:t>Jour 6</w:t>
            </w:r>
          </w:p>
        </w:tc>
        <w:tc>
          <w:tcPr>
            <w:tcW w:type="dxa" w:w="1134"/>
            <w:vAlign w:val="center"/>
          </w:tcPr>
          <w:p>
            <w:pPr>
              <w:spacing w:after="0"/>
              <w:jc w:val="right"/>
            </w:pPr>
            <w:r>
              <w:rPr>
                <w:sz w:val="18"/>
              </w:rPr>
              <w:t>1 747</w:t>
            </w:r>
          </w:p>
        </w:tc>
        <w:tc>
          <w:tcPr>
            <w:tcW w:type="dxa" w:w="1247"/>
            <w:vAlign w:val="center"/>
          </w:tcPr>
          <w:p>
            <w:pPr>
              <w:spacing w:after="0"/>
              <w:jc w:val="right"/>
            </w:pPr>
            <w:r>
              <w:rPr>
                <w:sz w:val="18"/>
              </w:rPr>
              <w:t>137</w:t>
            </w:r>
          </w:p>
        </w:tc>
        <w:tc>
          <w:tcPr>
            <w:tcW w:type="dxa" w:w="1701"/>
            <w:vAlign w:val="center"/>
          </w:tcPr>
          <w:p>
            <w:pPr>
              <w:spacing w:after="0"/>
              <w:jc w:val="right"/>
            </w:pPr>
            <w:r>
              <w:rPr>
                <w:sz w:val="18"/>
              </w:rPr>
              <w:t>0 (0)</w:t>
            </w:r>
          </w:p>
        </w:tc>
        <w:tc>
          <w:tcPr>
            <w:tcW w:type="dxa" w:w="1361"/>
            <w:vAlign w:val="center"/>
          </w:tcPr>
          <w:p>
            <w:pPr>
              <w:spacing w:after="0"/>
              <w:jc w:val="right"/>
            </w:pPr>
            <w:r>
              <w:rPr>
                <w:sz w:val="18"/>
              </w:rPr>
              <w:t>379</w:t>
            </w:r>
          </w:p>
        </w:tc>
        <w:tc>
          <w:tcPr>
            <w:tcW w:type="dxa" w:w="1361"/>
            <w:vAlign w:val="center"/>
          </w:tcPr>
          <w:p>
            <w:pPr>
              <w:spacing w:after="0"/>
              <w:jc w:val="right"/>
            </w:pPr>
            <w:r>
              <w:rPr>
                <w:sz w:val="18"/>
              </w:rPr>
              <w:t>Trop peu de suppressions</w:t>
            </w:r>
          </w:p>
        </w:tc>
        <w:tc>
          <w:tcPr>
            <w:tcW w:type="dxa" w:w="1247"/>
            <w:vAlign w:val="center"/>
          </w:tcPr>
          <w:p>
            <w:pPr>
              <w:spacing w:after="0"/>
              <w:jc w:val="right"/>
            </w:pPr>
            <w:r>
              <w:rPr>
                <w:sz w:val="18"/>
              </w:rPr>
            </w:r>
          </w:p>
        </w:tc>
      </w:tr>
    </w:tbl>
    <w:p>
      <w:pPr>
        <w:pStyle w:val="TitreTableau"/>
      </w:pPr>
      <w:r>
        <w:t>Tableau 6. Même mesure, fiches qui répondent à 25 à 75 %</w:t>
      </w:r>
    </w:p>
    <w:tbl>
      <w:tblPr>
        <w:tblW w:type="auto" w:w="0"/>
        <w:jc w:val="center"/>
        <w:tblLayout w:type="fixed"/>
        <w:tblLook w:firstColumn="1" w:firstRow="1" w:lastColumn="0" w:lastRow="0" w:noHBand="0" w:noVBand="1" w:val="04A0"/>
        <w:tblBorders>
          <w:top w:val="single" w:sz="4" w:color="D9D8DE"/>
          <w:left w:val="nil"/>
          <w:bottom w:val="single" w:sz="4" w:color="D9D8DE"/>
          <w:right w:val="nil"/>
          <w:insideH w:val="single" w:sz="4" w:color="D9D8DE"/>
          <w:insideV w:val="nil"/>
        </w:tblBorders>
      </w:tblPr>
      <w:tblGrid>
        <w:gridCol w:w="1360"/>
        <w:gridCol w:w="1134"/>
        <w:gridCol w:w="1247"/>
        <w:gridCol w:w="1701"/>
        <w:gridCol w:w="1360"/>
        <w:gridCol w:w="1360"/>
        <w:gridCol w:w="1247"/>
      </w:tblGrid>
      <w:tr>
        <w:tc>
          <w:tcPr>
            <w:tcW w:type="dxa" w:w="1361"/>
            <w:vAlign w:val="center"/>
            <w:shd w:val="clear" w:color="auto" w:fill="322954"/>
          </w:tcPr>
          <w:p>
            <w:pPr>
              <w:spacing w:after="0"/>
              <w:jc w:val="left"/>
            </w:pPr>
            <w:r>
              <w:rPr>
                <w:b/>
                <w:color w:val="FFFFFF"/>
                <w:sz w:val="18"/>
              </w:rPr>
              <w:t>Jour de la réponse</w:t>
            </w:r>
          </w:p>
        </w:tc>
        <w:tc>
          <w:tcPr>
            <w:tcW w:type="dxa" w:w="1134"/>
            <w:vAlign w:val="center"/>
            <w:shd w:val="clear" w:color="auto" w:fill="322954"/>
          </w:tcPr>
          <w:p>
            <w:pPr>
              <w:spacing w:after="0"/>
              <w:jc w:val="right"/>
            </w:pPr>
            <w:r>
              <w:rPr>
                <w:b/>
                <w:color w:val="FFFFFF"/>
                <w:sz w:val="18"/>
              </w:rPr>
              <w:t>Avis retenus</w:t>
            </w:r>
          </w:p>
        </w:tc>
        <w:tc>
          <w:tcPr>
            <w:tcW w:type="dxa" w:w="1247"/>
            <w:vAlign w:val="center"/>
            <w:shd w:val="clear" w:color="auto" w:fill="322954"/>
          </w:tcPr>
          <w:p>
            <w:pPr>
              <w:spacing w:after="0"/>
              <w:jc w:val="right"/>
            </w:pPr>
            <w:r>
              <w:rPr>
                <w:b/>
                <w:color w:val="FFFFFF"/>
                <w:sz w:val="18"/>
              </w:rPr>
              <w:t>Répondus ce jour-là</w:t>
            </w:r>
          </w:p>
        </w:tc>
        <w:tc>
          <w:tcPr>
            <w:tcW w:type="dxa" w:w="1701"/>
            <w:vAlign w:val="center"/>
            <w:shd w:val="clear" w:color="auto" w:fill="322954"/>
          </w:tcPr>
          <w:p>
            <w:pPr>
              <w:spacing w:after="0"/>
              <w:jc w:val="right"/>
            </w:pPr>
            <w:r>
              <w:rPr>
                <w:b/>
                <w:color w:val="FFFFFF"/>
                <w:sz w:val="18"/>
              </w:rPr>
              <w:t>Suppressions des répondus (pour 10 000)</w:t>
            </w:r>
          </w:p>
        </w:tc>
        <w:tc>
          <w:tcPr>
            <w:tcW w:type="dxa" w:w="1361"/>
            <w:vAlign w:val="center"/>
            <w:shd w:val="clear" w:color="auto" w:fill="322954"/>
          </w:tcPr>
          <w:p>
            <w:pPr>
              <w:spacing w:after="0"/>
              <w:jc w:val="right"/>
            </w:pPr>
            <w:r>
              <w:rPr>
                <w:b/>
                <w:color w:val="FFFFFF"/>
                <w:sz w:val="18"/>
              </w:rPr>
              <w:t>Pour 10 000 non répondus</w:t>
            </w:r>
          </w:p>
        </w:tc>
        <w:tc>
          <w:tcPr>
            <w:tcW w:type="dxa" w:w="1361"/>
            <w:vAlign w:val="center"/>
            <w:shd w:val="clear" w:color="auto" w:fill="322954"/>
          </w:tcPr>
          <w:p>
            <w:pPr>
              <w:spacing w:after="0"/>
              <w:jc w:val="right"/>
            </w:pPr>
            <w:r>
              <w:rPr>
                <w:b/>
                <w:color w:val="FFFFFF"/>
                <w:sz w:val="18"/>
              </w:rPr>
              <w:t>Risque</w:t>
            </w:r>
          </w:p>
        </w:tc>
        <w:tc>
          <w:tcPr>
            <w:tcW w:type="dxa" w:w="1247"/>
            <w:vAlign w:val="center"/>
            <w:shd w:val="clear" w:color="auto" w:fill="322954"/>
          </w:tcPr>
          <w:p>
            <w:pPr>
              <w:spacing w:after="0"/>
              <w:jc w:val="right"/>
            </w:pPr>
            <w:r>
              <w:rPr>
                <w:b/>
                <w:color w:val="FFFFFF"/>
                <w:sz w:val="18"/>
              </w:rPr>
              <w:t>Fourchette</w:t>
            </w:r>
          </w:p>
        </w:tc>
      </w:tr>
      <w:tr>
        <w:tc>
          <w:tcPr>
            <w:tcW w:type="dxa" w:w="1361"/>
            <w:vAlign w:val="center"/>
          </w:tcPr>
          <w:p>
            <w:pPr>
              <w:spacing w:after="0"/>
              <w:jc w:val="left"/>
            </w:pPr>
            <w:r>
              <w:rPr>
                <w:sz w:val="18"/>
              </w:rPr>
              <w:t>Jour 0</w:t>
            </w:r>
          </w:p>
        </w:tc>
        <w:tc>
          <w:tcPr>
            <w:tcW w:type="dxa" w:w="1134"/>
            <w:vAlign w:val="center"/>
          </w:tcPr>
          <w:p>
            <w:pPr>
              <w:spacing w:after="0"/>
              <w:jc w:val="right"/>
            </w:pPr>
            <w:r>
              <w:rPr>
                <w:sz w:val="18"/>
              </w:rPr>
              <w:t>289</w:t>
            </w:r>
          </w:p>
        </w:tc>
        <w:tc>
          <w:tcPr>
            <w:tcW w:type="dxa" w:w="1247"/>
            <w:vAlign w:val="center"/>
          </w:tcPr>
          <w:p>
            <w:pPr>
              <w:spacing w:after="0"/>
              <w:jc w:val="right"/>
            </w:pPr>
            <w:r>
              <w:rPr>
                <w:sz w:val="18"/>
              </w:rPr>
              <w:t>48</w:t>
            </w:r>
          </w:p>
        </w:tc>
        <w:tc>
          <w:tcPr>
            <w:tcW w:type="dxa" w:w="1701"/>
            <w:vAlign w:val="center"/>
          </w:tcPr>
          <w:p>
            <w:pPr>
              <w:spacing w:after="0"/>
              <w:jc w:val="right"/>
            </w:pPr>
            <w:r>
              <w:rPr>
                <w:sz w:val="18"/>
              </w:rPr>
              <w:t>1 (208)</w:t>
            </w:r>
          </w:p>
        </w:tc>
        <w:tc>
          <w:tcPr>
            <w:tcW w:type="dxa" w:w="1361"/>
            <w:vAlign w:val="center"/>
          </w:tcPr>
          <w:p>
            <w:pPr>
              <w:spacing w:after="0"/>
              <w:jc w:val="right"/>
            </w:pPr>
            <w:r>
              <w:rPr>
                <w:sz w:val="18"/>
              </w:rPr>
              <w:t>415</w:t>
            </w:r>
          </w:p>
        </w:tc>
        <w:tc>
          <w:tcPr>
            <w:tcW w:type="dxa" w:w="1361"/>
            <w:vAlign w:val="center"/>
          </w:tcPr>
          <w:p>
            <w:pPr>
              <w:spacing w:after="0"/>
              <w:jc w:val="right"/>
            </w:pPr>
            <w:r>
              <w:rPr>
                <w:sz w:val="18"/>
              </w:rPr>
              <w:t>Trop peu de suppressions</w:t>
            </w:r>
          </w:p>
        </w:tc>
        <w:tc>
          <w:tcPr>
            <w:tcW w:type="dxa" w:w="1247"/>
            <w:vAlign w:val="center"/>
          </w:tcPr>
          <w:p>
            <w:pPr>
              <w:spacing w:after="0"/>
              <w:jc w:val="right"/>
            </w:pPr>
            <w:r>
              <w:rPr>
                <w:sz w:val="18"/>
              </w:rPr>
            </w:r>
          </w:p>
        </w:tc>
      </w:tr>
      <w:tr>
        <w:tc>
          <w:tcPr>
            <w:tcW w:type="dxa" w:w="1361"/>
            <w:vAlign w:val="center"/>
            <w:shd w:val="clear" w:color="auto" w:fill="F4F4F7"/>
          </w:tcPr>
          <w:p>
            <w:pPr>
              <w:spacing w:after="0"/>
              <w:jc w:val="left"/>
            </w:pPr>
            <w:r>
              <w:rPr>
                <w:sz w:val="18"/>
              </w:rPr>
              <w:t>Jour 1</w:t>
            </w:r>
          </w:p>
        </w:tc>
        <w:tc>
          <w:tcPr>
            <w:tcW w:type="dxa" w:w="1134"/>
            <w:vAlign w:val="center"/>
            <w:shd w:val="clear" w:color="auto" w:fill="F4F4F7"/>
          </w:tcPr>
          <w:p>
            <w:pPr>
              <w:spacing w:after="0"/>
              <w:jc w:val="right"/>
            </w:pPr>
            <w:r>
              <w:rPr>
                <w:sz w:val="18"/>
              </w:rPr>
              <w:t>2 791</w:t>
            </w:r>
          </w:p>
        </w:tc>
        <w:tc>
          <w:tcPr>
            <w:tcW w:type="dxa" w:w="1247"/>
            <w:vAlign w:val="center"/>
            <w:shd w:val="clear" w:color="auto" w:fill="F4F4F7"/>
          </w:tcPr>
          <w:p>
            <w:pPr>
              <w:spacing w:after="0"/>
              <w:jc w:val="right"/>
            </w:pPr>
            <w:r>
              <w:rPr>
                <w:sz w:val="18"/>
              </w:rPr>
              <w:t>294</w:t>
            </w:r>
          </w:p>
        </w:tc>
        <w:tc>
          <w:tcPr>
            <w:tcW w:type="dxa" w:w="1701"/>
            <w:vAlign w:val="center"/>
            <w:shd w:val="clear" w:color="auto" w:fill="F4F4F7"/>
          </w:tcPr>
          <w:p>
            <w:pPr>
              <w:spacing w:after="0"/>
              <w:jc w:val="right"/>
            </w:pPr>
            <w:r>
              <w:rPr>
                <w:sz w:val="18"/>
              </w:rPr>
              <w:t>14 (476)</w:t>
            </w:r>
          </w:p>
        </w:tc>
        <w:tc>
          <w:tcPr>
            <w:tcW w:type="dxa" w:w="1361"/>
            <w:vAlign w:val="center"/>
            <w:shd w:val="clear" w:color="auto" w:fill="F4F4F7"/>
          </w:tcPr>
          <w:p>
            <w:pPr>
              <w:spacing w:after="0"/>
              <w:jc w:val="right"/>
            </w:pPr>
            <w:r>
              <w:rPr>
                <w:sz w:val="18"/>
              </w:rPr>
              <w:t>224</w:t>
            </w:r>
          </w:p>
        </w:tc>
        <w:tc>
          <w:tcPr>
            <w:tcW w:type="dxa" w:w="1361"/>
            <w:vAlign w:val="center"/>
            <w:shd w:val="clear" w:color="auto" w:fill="F4F4F7"/>
          </w:tcPr>
          <w:p>
            <w:pPr>
              <w:spacing w:after="0"/>
              <w:jc w:val="right"/>
            </w:pPr>
            <w:r>
              <w:rPr>
                <w:sz w:val="18"/>
              </w:rPr>
              <w:t>×2,11</w:t>
            </w:r>
          </w:p>
        </w:tc>
        <w:tc>
          <w:tcPr>
            <w:tcW w:type="dxa" w:w="1247"/>
            <w:vAlign w:val="center"/>
            <w:shd w:val="clear" w:color="auto" w:fill="F4F4F7"/>
          </w:tcPr>
          <w:p>
            <w:pPr>
              <w:spacing w:after="0"/>
              <w:jc w:val="right"/>
            </w:pPr>
            <w:r>
              <w:rPr>
                <w:sz w:val="18"/>
              </w:rPr>
              <w:t>0,93 à 4,79</w:t>
            </w:r>
          </w:p>
        </w:tc>
      </w:tr>
      <w:tr>
        <w:tc>
          <w:tcPr>
            <w:tcW w:type="dxa" w:w="1361"/>
            <w:vAlign w:val="center"/>
          </w:tcPr>
          <w:p>
            <w:pPr>
              <w:spacing w:after="0"/>
              <w:jc w:val="left"/>
            </w:pPr>
            <w:r>
              <w:rPr>
                <w:sz w:val="18"/>
              </w:rPr>
              <w:t>Jour 2</w:t>
            </w:r>
          </w:p>
        </w:tc>
        <w:tc>
          <w:tcPr>
            <w:tcW w:type="dxa" w:w="1134"/>
            <w:vAlign w:val="center"/>
          </w:tcPr>
          <w:p>
            <w:pPr>
              <w:spacing w:after="0"/>
              <w:jc w:val="right"/>
            </w:pPr>
            <w:r>
              <w:rPr>
                <w:sz w:val="18"/>
              </w:rPr>
              <w:t>2 845</w:t>
            </w:r>
          </w:p>
        </w:tc>
        <w:tc>
          <w:tcPr>
            <w:tcW w:type="dxa" w:w="1247"/>
            <w:vAlign w:val="center"/>
          </w:tcPr>
          <w:p>
            <w:pPr>
              <w:spacing w:after="0"/>
              <w:jc w:val="right"/>
            </w:pPr>
            <w:r>
              <w:rPr>
                <w:sz w:val="18"/>
              </w:rPr>
              <w:t>132</w:t>
            </w:r>
          </w:p>
        </w:tc>
        <w:tc>
          <w:tcPr>
            <w:tcW w:type="dxa" w:w="1701"/>
            <w:vAlign w:val="center"/>
          </w:tcPr>
          <w:p>
            <w:pPr>
              <w:spacing w:after="0"/>
              <w:jc w:val="right"/>
            </w:pPr>
            <w:r>
              <w:rPr>
                <w:sz w:val="18"/>
              </w:rPr>
              <w:t>5 (379)</w:t>
            </w:r>
          </w:p>
        </w:tc>
        <w:tc>
          <w:tcPr>
            <w:tcW w:type="dxa" w:w="1361"/>
            <w:vAlign w:val="center"/>
          </w:tcPr>
          <w:p>
            <w:pPr>
              <w:spacing w:after="0"/>
              <w:jc w:val="right"/>
            </w:pPr>
            <w:r>
              <w:rPr>
                <w:sz w:val="18"/>
              </w:rPr>
              <w:t>181</w:t>
            </w:r>
          </w:p>
        </w:tc>
        <w:tc>
          <w:tcPr>
            <w:tcW w:type="dxa" w:w="1361"/>
            <w:vAlign w:val="center"/>
          </w:tcPr>
          <w:p>
            <w:pPr>
              <w:spacing w:after="0"/>
              <w:jc w:val="right"/>
            </w:pPr>
            <w:r>
              <w:rPr>
                <w:sz w:val="18"/>
              </w:rPr>
              <w:t>×2,28</w:t>
            </w:r>
          </w:p>
        </w:tc>
        <w:tc>
          <w:tcPr>
            <w:tcW w:type="dxa" w:w="1247"/>
            <w:vAlign w:val="center"/>
          </w:tcPr>
          <w:p>
            <w:pPr>
              <w:spacing w:after="0"/>
              <w:jc w:val="right"/>
            </w:pPr>
            <w:r>
              <w:rPr>
                <w:sz w:val="18"/>
              </w:rPr>
              <w:t>0,73 à 7,16</w:t>
            </w:r>
          </w:p>
        </w:tc>
      </w:tr>
      <w:tr>
        <w:tc>
          <w:tcPr>
            <w:tcW w:type="dxa" w:w="1361"/>
            <w:vAlign w:val="center"/>
            <w:shd w:val="clear" w:color="auto" w:fill="F4F4F7"/>
          </w:tcPr>
          <w:p>
            <w:pPr>
              <w:spacing w:after="0"/>
              <w:jc w:val="left"/>
            </w:pPr>
            <w:r>
              <w:rPr>
                <w:sz w:val="18"/>
              </w:rPr>
              <w:t>Jour 3</w:t>
            </w:r>
          </w:p>
        </w:tc>
        <w:tc>
          <w:tcPr>
            <w:tcW w:type="dxa" w:w="1134"/>
            <w:vAlign w:val="center"/>
            <w:shd w:val="clear" w:color="auto" w:fill="F4F4F7"/>
          </w:tcPr>
          <w:p>
            <w:pPr>
              <w:spacing w:after="0"/>
              <w:jc w:val="right"/>
            </w:pPr>
            <w:r>
              <w:rPr>
                <w:sz w:val="18"/>
              </w:rPr>
              <w:t>2 712</w:t>
            </w:r>
          </w:p>
        </w:tc>
        <w:tc>
          <w:tcPr>
            <w:tcW w:type="dxa" w:w="1247"/>
            <w:vAlign w:val="center"/>
            <w:shd w:val="clear" w:color="auto" w:fill="F4F4F7"/>
          </w:tcPr>
          <w:p>
            <w:pPr>
              <w:spacing w:after="0"/>
              <w:jc w:val="right"/>
            </w:pPr>
            <w:r>
              <w:rPr>
                <w:sz w:val="18"/>
              </w:rPr>
              <w:t>83</w:t>
            </w:r>
          </w:p>
        </w:tc>
        <w:tc>
          <w:tcPr>
            <w:tcW w:type="dxa" w:w="1701"/>
            <w:vAlign w:val="center"/>
            <w:shd w:val="clear" w:color="auto" w:fill="F4F4F7"/>
          </w:tcPr>
          <w:p>
            <w:pPr>
              <w:spacing w:after="0"/>
              <w:jc w:val="right"/>
            </w:pPr>
            <w:r>
              <w:rPr>
                <w:sz w:val="18"/>
              </w:rPr>
              <w:t>0 (0)</w:t>
            </w:r>
          </w:p>
        </w:tc>
        <w:tc>
          <w:tcPr>
            <w:tcW w:type="dxa" w:w="1361"/>
            <w:vAlign w:val="center"/>
            <w:shd w:val="clear" w:color="auto" w:fill="F4F4F7"/>
          </w:tcPr>
          <w:p>
            <w:pPr>
              <w:spacing w:after="0"/>
              <w:jc w:val="right"/>
            </w:pPr>
            <w:r>
              <w:rPr>
                <w:sz w:val="18"/>
              </w:rPr>
              <w:t>167</w:t>
            </w:r>
          </w:p>
        </w:tc>
        <w:tc>
          <w:tcPr>
            <w:tcW w:type="dxa" w:w="1361"/>
            <w:vAlign w:val="center"/>
            <w:shd w:val="clear" w:color="auto" w:fill="F4F4F7"/>
          </w:tcPr>
          <w:p>
            <w:pPr>
              <w:spacing w:after="0"/>
              <w:jc w:val="right"/>
            </w:pPr>
            <w:r>
              <w:rPr>
                <w:sz w:val="18"/>
              </w:rPr>
              <w:t>Trop peu de suppressions</w:t>
            </w:r>
          </w:p>
        </w:tc>
        <w:tc>
          <w:tcPr>
            <w:tcW w:type="dxa" w:w="1247"/>
            <w:vAlign w:val="center"/>
            <w:shd w:val="clear" w:color="auto" w:fill="F4F4F7"/>
          </w:tcPr>
          <w:p>
            <w:pPr>
              <w:spacing w:after="0"/>
              <w:jc w:val="right"/>
            </w:pPr>
            <w:r>
              <w:rPr>
                <w:sz w:val="18"/>
              </w:rPr>
            </w:r>
          </w:p>
        </w:tc>
      </w:tr>
      <w:tr>
        <w:tc>
          <w:tcPr>
            <w:tcW w:type="dxa" w:w="1361"/>
            <w:vAlign w:val="center"/>
          </w:tcPr>
          <w:p>
            <w:pPr>
              <w:spacing w:after="0"/>
              <w:jc w:val="left"/>
            </w:pPr>
            <w:r>
              <w:rPr>
                <w:sz w:val="18"/>
              </w:rPr>
              <w:t>Jour 4</w:t>
            </w:r>
          </w:p>
        </w:tc>
        <w:tc>
          <w:tcPr>
            <w:tcW w:type="dxa" w:w="1134"/>
            <w:vAlign w:val="center"/>
          </w:tcPr>
          <w:p>
            <w:pPr>
              <w:spacing w:after="0"/>
              <w:jc w:val="right"/>
            </w:pPr>
            <w:r>
              <w:rPr>
                <w:sz w:val="18"/>
              </w:rPr>
              <w:t>2 638</w:t>
            </w:r>
          </w:p>
        </w:tc>
        <w:tc>
          <w:tcPr>
            <w:tcW w:type="dxa" w:w="1247"/>
            <w:vAlign w:val="center"/>
          </w:tcPr>
          <w:p>
            <w:pPr>
              <w:spacing w:after="0"/>
              <w:jc w:val="right"/>
            </w:pPr>
            <w:r>
              <w:rPr>
                <w:sz w:val="18"/>
              </w:rPr>
              <w:t>65</w:t>
            </w:r>
          </w:p>
        </w:tc>
        <w:tc>
          <w:tcPr>
            <w:tcW w:type="dxa" w:w="1701"/>
            <w:vAlign w:val="center"/>
          </w:tcPr>
          <w:p>
            <w:pPr>
              <w:spacing w:after="0"/>
              <w:jc w:val="right"/>
            </w:pPr>
            <w:r>
              <w:rPr>
                <w:sz w:val="18"/>
              </w:rPr>
              <w:t>1 (154)</w:t>
            </w:r>
          </w:p>
        </w:tc>
        <w:tc>
          <w:tcPr>
            <w:tcW w:type="dxa" w:w="1361"/>
            <w:vAlign w:val="center"/>
          </w:tcPr>
          <w:p>
            <w:pPr>
              <w:spacing w:after="0"/>
              <w:jc w:val="right"/>
            </w:pPr>
            <w:r>
              <w:rPr>
                <w:sz w:val="18"/>
              </w:rPr>
              <w:t>167</w:t>
            </w:r>
          </w:p>
        </w:tc>
        <w:tc>
          <w:tcPr>
            <w:tcW w:type="dxa" w:w="1361"/>
            <w:vAlign w:val="center"/>
          </w:tcPr>
          <w:p>
            <w:pPr>
              <w:spacing w:after="0"/>
              <w:jc w:val="right"/>
            </w:pPr>
            <w:r>
              <w:rPr>
                <w:sz w:val="18"/>
              </w:rPr>
              <w:t>Trop peu de suppressions</w:t>
            </w:r>
          </w:p>
        </w:tc>
        <w:tc>
          <w:tcPr>
            <w:tcW w:type="dxa" w:w="1247"/>
            <w:vAlign w:val="center"/>
          </w:tcPr>
          <w:p>
            <w:pPr>
              <w:spacing w:after="0"/>
              <w:jc w:val="right"/>
            </w:pPr>
            <w:r>
              <w:rPr>
                <w:sz w:val="18"/>
              </w:rPr>
            </w:r>
          </w:p>
        </w:tc>
      </w:tr>
      <w:tr>
        <w:tc>
          <w:tcPr>
            <w:tcW w:type="dxa" w:w="1361"/>
            <w:vAlign w:val="center"/>
            <w:shd w:val="clear" w:color="auto" w:fill="F4F4F7"/>
          </w:tcPr>
          <w:p>
            <w:pPr>
              <w:spacing w:after="0"/>
              <w:jc w:val="left"/>
            </w:pPr>
            <w:r>
              <w:rPr>
                <w:sz w:val="18"/>
              </w:rPr>
              <w:t>Jour 5</w:t>
            </w:r>
          </w:p>
        </w:tc>
        <w:tc>
          <w:tcPr>
            <w:tcW w:type="dxa" w:w="1134"/>
            <w:vAlign w:val="center"/>
            <w:shd w:val="clear" w:color="auto" w:fill="F4F4F7"/>
          </w:tcPr>
          <w:p>
            <w:pPr>
              <w:spacing w:after="0"/>
              <w:jc w:val="right"/>
            </w:pPr>
            <w:r>
              <w:rPr>
                <w:sz w:val="18"/>
              </w:rPr>
              <w:t>2 575</w:t>
            </w:r>
          </w:p>
        </w:tc>
        <w:tc>
          <w:tcPr>
            <w:tcW w:type="dxa" w:w="1247"/>
            <w:vAlign w:val="center"/>
            <w:shd w:val="clear" w:color="auto" w:fill="F4F4F7"/>
          </w:tcPr>
          <w:p>
            <w:pPr>
              <w:spacing w:after="0"/>
              <w:jc w:val="right"/>
            </w:pPr>
            <w:r>
              <w:rPr>
                <w:sz w:val="18"/>
              </w:rPr>
              <w:t>35</w:t>
            </w:r>
          </w:p>
        </w:tc>
        <w:tc>
          <w:tcPr>
            <w:tcW w:type="dxa" w:w="1701"/>
            <w:vAlign w:val="center"/>
            <w:shd w:val="clear" w:color="auto" w:fill="F4F4F7"/>
          </w:tcPr>
          <w:p>
            <w:pPr>
              <w:spacing w:after="0"/>
              <w:jc w:val="right"/>
            </w:pPr>
            <w:r>
              <w:rPr>
                <w:sz w:val="18"/>
              </w:rPr>
              <w:t>0 (0)</w:t>
            </w:r>
          </w:p>
        </w:tc>
        <w:tc>
          <w:tcPr>
            <w:tcW w:type="dxa" w:w="1361"/>
            <w:vAlign w:val="center"/>
            <w:shd w:val="clear" w:color="auto" w:fill="F4F4F7"/>
          </w:tcPr>
          <w:p>
            <w:pPr>
              <w:spacing w:after="0"/>
              <w:jc w:val="right"/>
            </w:pPr>
            <w:r>
              <w:rPr>
                <w:sz w:val="18"/>
              </w:rPr>
              <w:t>161</w:t>
            </w:r>
          </w:p>
        </w:tc>
        <w:tc>
          <w:tcPr>
            <w:tcW w:type="dxa" w:w="1361"/>
            <w:vAlign w:val="center"/>
            <w:shd w:val="clear" w:color="auto" w:fill="F4F4F7"/>
          </w:tcPr>
          <w:p>
            <w:pPr>
              <w:spacing w:after="0"/>
              <w:jc w:val="right"/>
            </w:pPr>
            <w:r>
              <w:rPr>
                <w:sz w:val="18"/>
              </w:rPr>
              <w:t>Trop peu de suppressions</w:t>
            </w:r>
          </w:p>
        </w:tc>
        <w:tc>
          <w:tcPr>
            <w:tcW w:type="dxa" w:w="1247"/>
            <w:vAlign w:val="center"/>
            <w:shd w:val="clear" w:color="auto" w:fill="F4F4F7"/>
          </w:tcPr>
          <w:p>
            <w:pPr>
              <w:spacing w:after="0"/>
              <w:jc w:val="right"/>
            </w:pPr>
            <w:r>
              <w:rPr>
                <w:sz w:val="18"/>
              </w:rPr>
            </w:r>
          </w:p>
        </w:tc>
      </w:tr>
      <w:tr>
        <w:tc>
          <w:tcPr>
            <w:tcW w:type="dxa" w:w="1361"/>
            <w:vAlign w:val="center"/>
          </w:tcPr>
          <w:p>
            <w:pPr>
              <w:spacing w:after="0"/>
              <w:jc w:val="left"/>
            </w:pPr>
            <w:r>
              <w:rPr>
                <w:sz w:val="18"/>
              </w:rPr>
              <w:t>Jour 6</w:t>
            </w:r>
          </w:p>
        </w:tc>
        <w:tc>
          <w:tcPr>
            <w:tcW w:type="dxa" w:w="1134"/>
            <w:vAlign w:val="center"/>
          </w:tcPr>
          <w:p>
            <w:pPr>
              <w:spacing w:after="0"/>
              <w:jc w:val="right"/>
            </w:pPr>
            <w:r>
              <w:rPr>
                <w:sz w:val="18"/>
              </w:rPr>
              <w:t>2 533</w:t>
            </w:r>
          </w:p>
        </w:tc>
        <w:tc>
          <w:tcPr>
            <w:tcW w:type="dxa" w:w="1247"/>
            <w:vAlign w:val="center"/>
          </w:tcPr>
          <w:p>
            <w:pPr>
              <w:spacing w:after="0"/>
              <w:jc w:val="right"/>
            </w:pPr>
            <w:r>
              <w:rPr>
                <w:sz w:val="18"/>
              </w:rPr>
              <w:t>36</w:t>
            </w:r>
          </w:p>
        </w:tc>
        <w:tc>
          <w:tcPr>
            <w:tcW w:type="dxa" w:w="1701"/>
            <w:vAlign w:val="center"/>
          </w:tcPr>
          <w:p>
            <w:pPr>
              <w:spacing w:after="0"/>
              <w:jc w:val="right"/>
            </w:pPr>
            <w:r>
              <w:rPr>
                <w:sz w:val="18"/>
              </w:rPr>
              <w:t>0 (0)</w:t>
            </w:r>
          </w:p>
        </w:tc>
        <w:tc>
          <w:tcPr>
            <w:tcW w:type="dxa" w:w="1361"/>
            <w:vAlign w:val="center"/>
          </w:tcPr>
          <w:p>
            <w:pPr>
              <w:spacing w:after="0"/>
              <w:jc w:val="right"/>
            </w:pPr>
            <w:r>
              <w:rPr>
                <w:sz w:val="18"/>
              </w:rPr>
              <w:t>124</w:t>
            </w:r>
          </w:p>
        </w:tc>
        <w:tc>
          <w:tcPr>
            <w:tcW w:type="dxa" w:w="1361"/>
            <w:vAlign w:val="center"/>
          </w:tcPr>
          <w:p>
            <w:pPr>
              <w:spacing w:after="0"/>
              <w:jc w:val="right"/>
            </w:pPr>
            <w:r>
              <w:rPr>
                <w:sz w:val="18"/>
              </w:rPr>
              <w:t>Trop peu de suppressions</w:t>
            </w:r>
          </w:p>
        </w:tc>
        <w:tc>
          <w:tcPr>
            <w:tcW w:type="dxa" w:w="1247"/>
            <w:vAlign w:val="center"/>
          </w:tcPr>
          <w:p>
            <w:pPr>
              <w:spacing w:after="0"/>
              <w:jc w:val="right"/>
            </w:pPr>
            <w:r>
              <w:rPr>
                <w:sz w:val="18"/>
              </w:rPr>
            </w:r>
          </w:p>
        </w:tc>
      </w:tr>
    </w:tbl>
    <w:p>
      <w:pPr>
        <w:pStyle w:val="NoteTableau"/>
      </w:pPr>
      <w:r>
        <w:t>Fiches qui répondent à moins de 25 % : trop peu d'avis répondus pour une ligne.</w:t>
      </w:r>
    </w:p>
    <w:p>
      <w:pPr>
        <w:pStyle w:val="TitreTableau"/>
      </w:pPr>
      <w:r>
        <w:t>À retenir</w:t>
      </w:r>
    </w:p>
    <w:p>
      <w:pPr>
        <w:pStyle w:val="ListBullet"/>
      </w:pPr>
      <w:r>
        <w:t>Réponse le lendemain de l'avis (jour 1) : risque divisé par 1,8 sur toutes les fiches (×0,57, de 0,35 à 0,91) et par 2,3 sur les fiches qui répondent à plus de 75 % (×0,43, de 0,27 à 0,67).</w:t>
      </w:r>
    </w:p>
    <w:p>
      <w:pPr>
        <w:pStyle w:val="ListBullet"/>
      </w:pPr>
      <w:r>
        <w:t>Réponse au jour 2 : ×0,53 sur toutes les fiches, fourchette de 0,26 à 1,06 qui contient 1. Sur les fiches à plus de 75 % : ×0,39, de 0,18 à 0,83.</w:t>
      </w:r>
    </w:p>
    <w:p>
      <w:pPr>
        <w:pStyle w:val="ListBullet"/>
      </w:pPr>
      <w:r>
        <w:t>Réponse le jour même (jour 0) : ×0,45, de 0,15 à 1,37. 10 suppressions parmi les 503 avis répondus, trop peu pour trancher.</w:t>
      </w:r>
    </w:p>
    <w:p>
      <w:pPr>
        <w:pStyle w:val="ListBullet"/>
      </w:pPr>
      <w:r>
        <w:t>Réponse au jour 3 : aucune suppression parmi les 706 avis répondus. Au taux des avis sans réponse, on en attendrait environ 17. Le modèle ne chiffre pas un effet calculé sur zéro suppression.</w:t>
      </w:r>
    </w:p>
    <w:p>
      <w:pPr>
        <w:pStyle w:val="ListBullet"/>
      </w:pPr>
      <w:r>
        <w:t>Jours 4 à 6 : 7, 3 et 0 suppressions parmi les avis répondus. Seul le jour 4 se chiffre (×0,63, de 0,28 à 1,38).</w:t>
      </w:r>
    </w:p>
    <w:p>
      <w:pPr>
        <w:pStyle w:val="ListBullet"/>
      </w:pPr>
      <w:r>
        <w:t>Sur les fiches qui répondent de 25 à 75 %, la réponse du jour 1 va dans l'autre sens (×2,11, de 0,93 à 4,79), comme dans le tableau 3.</w:t>
      </w:r>
    </w:p>
    <w:p>
      <w:pPr>
        <w:pStyle w:val="ListBullet"/>
      </w:pPr>
      <w:r>
        <w:t>Jusqu'au 2ᵉ jour, l'effet mesuré sur les fiches à plus de 75 % reste proche du ×0,37. Au-delà, le nombre de suppressions ne permet pas de dire si l'effet diminue avec le délai.</w:t>
      </w:r>
    </w:p>
    <w:p>
      <w:pPr>
        <w:pStyle w:val="TitreTableau"/>
      </w:pPr>
      <w:r>
        <w:t>Réserves</w:t>
      </w:r>
    </w:p>
    <w:p>
      <w:pPr>
        <w:pStyle w:val="ListBullet"/>
      </w:pPr>
      <w:r>
        <w:t>Une réponse publiée après le dernier passage où l'avis était visible n'est jamais vue. Un avis répondu le jour k et disparu avant le relevé suivant compte donc comme non répondu et supprimé. Ce cas grossit l'effet protecteur ; son poids n'est pas mesuré.</w:t>
      </w:r>
    </w:p>
    <w:p>
      <w:pPr>
        <w:pStyle w:val="ListBullet"/>
      </w:pPr>
      <w:r>
        <w:t>Une réponse retirée est invisible : changed_fields ne suit pas la réponse.</w:t>
      </w:r>
    </w:p>
    <w:p>
      <w:pPr>
        <w:pStyle w:val="ListBullet"/>
      </w:pPr>
      <w:r>
        <w:t>Le sens de la relation n'est pas établi : le commerçant qui répond est souvent celui qui signale.</w:t>
      </w:r>
    </w:p>
    <w:p>
      <w:pPr>
        <w:pStyle w:val="ListBullet"/>
      </w:pPr>
      <w:r>
        <w:t>Délai compté en jours calendaires UTC : une réponse du jour 1 arrive entre quelques minutes et 48 heures après l'avis.</w:t>
      </w:r>
    </w:p>
    <w:p>
      <w:pPr>
        <w:pStyle w:val="NoteTableau"/>
      </w:pPr>
      <w:r>
        <w:t>Régénérer : reponse_delai.py puis note.py, dossier etudes-ponctuelles/2026-09-30-secteurs-panel-03B.</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eastAsia="Calibri" w:cs="Calibri"/>
      <w:b/>
      <w:bCs/>
      <w:i w:val="0"/>
      <w:color w:val="3229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Calibri" w:hAnsi="Calibri" w:eastAsia="Calibri" w:cs="Calibri"/>
      <w:b/>
      <w:i w:val="0"/>
      <w:color w:val="3229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Tableau">
    <w:name w:val="TitreTableau"/>
    <w:basedOn w:val="Normal"/>
    <w:pPr>
      <w:keepNext/>
      <w:spacing w:before="200"/>
    </w:pPr>
    <w:rPr>
      <w:b/>
      <w:color w:val="322954"/>
      <w:sz w:val="19"/>
    </w:rPr>
  </w:style>
  <w:style w:type="paragraph" w:customStyle="1" w:styleId="NoteTableau">
    <w:name w:val="NoteTableau"/>
    <w:basedOn w:val="Normal"/>
    <w:pPr>
      <w:spacing w:after="200"/>
    </w:pPr>
    <w:rPr>
      <w:color w:val="6B6A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