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531C" w14:textId="08880699" w:rsidR="00077FDA" w:rsidRPr="00445ED2" w:rsidRDefault="00445ED2">
      <w:pPr>
        <w:rPr>
          <w:rFonts w:ascii="Times New Roman" w:hAnsi="Times New Roman" w:cs="Times New Roman"/>
          <w:b/>
          <w:bCs/>
          <w:sz w:val="28"/>
          <w:szCs w:val="28"/>
          <w:u w:val="single"/>
        </w:rPr>
      </w:pPr>
      <w:r w:rsidRPr="00445ED2">
        <w:rPr>
          <w:rFonts w:ascii="Times New Roman" w:hAnsi="Times New Roman" w:cs="Times New Roman"/>
          <w:b/>
          <w:bCs/>
          <w:sz w:val="28"/>
          <w:szCs w:val="28"/>
          <w:u w:val="single"/>
        </w:rPr>
        <w:t xml:space="preserve">Motor Insurance Pricing Assistant (Gemini) </w:t>
      </w:r>
    </w:p>
    <w:p w14:paraId="5CAAE6E4" w14:textId="3A9C9F78" w:rsidR="00445ED2" w:rsidRPr="00445ED2" w:rsidRDefault="00445ED2">
      <w:pPr>
        <w:rPr>
          <w:rFonts w:ascii="Times New Roman" w:hAnsi="Times New Roman" w:cs="Times New Roman"/>
          <w:b/>
          <w:bCs/>
        </w:rPr>
      </w:pPr>
      <w:r w:rsidRPr="00445ED2">
        <w:rPr>
          <w:rFonts w:ascii="Times New Roman" w:hAnsi="Times New Roman" w:cs="Times New Roman"/>
          <w:b/>
          <w:bCs/>
        </w:rPr>
        <w:t xml:space="preserve">Project Overview </w:t>
      </w:r>
    </w:p>
    <w:p w14:paraId="4D8D4B8D" w14:textId="653F56E5" w:rsidR="00445ED2" w:rsidRPr="00445ED2" w:rsidRDefault="00445ED2">
      <w:pPr>
        <w:rPr>
          <w:rFonts w:ascii="Times New Roman" w:hAnsi="Times New Roman" w:cs="Times New Roman"/>
        </w:rPr>
      </w:pPr>
      <w:r w:rsidRPr="00445ED2">
        <w:rPr>
          <w:rFonts w:ascii="Times New Roman" w:hAnsi="Times New Roman" w:cs="Times New Roman"/>
        </w:rPr>
        <w:t xml:space="preserve">This project was the creation of an AI-powered pricing simulator, built using Google Gemini. It replicates the decision-making process used in Australian insurance pricing through the decomposition of premiums into claim frequency and claim severity. </w:t>
      </w:r>
    </w:p>
    <w:p w14:paraId="6A857EA4" w14:textId="23AE03F8" w:rsidR="00445ED2" w:rsidRPr="00445ED2" w:rsidRDefault="00445ED2">
      <w:pPr>
        <w:rPr>
          <w:rFonts w:ascii="Times New Roman" w:hAnsi="Times New Roman" w:cs="Times New Roman"/>
        </w:rPr>
      </w:pPr>
      <w:r w:rsidRPr="00445ED2">
        <w:rPr>
          <w:rFonts w:ascii="Times New Roman" w:hAnsi="Times New Roman" w:cs="Times New Roman"/>
        </w:rPr>
        <w:t xml:space="preserve">This system is designed solely as an educational tool, based on actuarial concepts and reasoning. </w:t>
      </w:r>
    </w:p>
    <w:p w14:paraId="1C75103F" w14:textId="77777777" w:rsidR="00445ED2" w:rsidRPr="00445ED2" w:rsidRDefault="00445ED2">
      <w:pPr>
        <w:rPr>
          <w:rFonts w:ascii="Times New Roman" w:hAnsi="Times New Roman" w:cs="Times New Roman"/>
        </w:rPr>
      </w:pPr>
    </w:p>
    <w:p w14:paraId="73C3BC96" w14:textId="60A22E36" w:rsidR="00445ED2" w:rsidRPr="00445ED2" w:rsidRDefault="00445ED2">
      <w:pPr>
        <w:rPr>
          <w:rFonts w:ascii="Times New Roman" w:hAnsi="Times New Roman" w:cs="Times New Roman"/>
          <w:b/>
          <w:bCs/>
        </w:rPr>
      </w:pPr>
      <w:r w:rsidRPr="00445ED2">
        <w:rPr>
          <w:rFonts w:ascii="Times New Roman" w:hAnsi="Times New Roman" w:cs="Times New Roman"/>
          <w:b/>
          <w:bCs/>
        </w:rPr>
        <w:t>Objective</w:t>
      </w:r>
    </w:p>
    <w:p w14:paraId="504D88E7" w14:textId="6A7DF8F8" w:rsidR="00445ED2" w:rsidRPr="00445ED2" w:rsidRDefault="00445ED2">
      <w:pPr>
        <w:rPr>
          <w:rFonts w:ascii="Times New Roman" w:hAnsi="Times New Roman" w:cs="Times New Roman"/>
        </w:rPr>
      </w:pPr>
      <w:r w:rsidRPr="00445ED2">
        <w:rPr>
          <w:rFonts w:ascii="Times New Roman" w:hAnsi="Times New Roman" w:cs="Times New Roman"/>
        </w:rPr>
        <w:t xml:space="preserve">To simulate the decision-making process of Australian insurance companies and how risk is assessed across: </w:t>
      </w:r>
    </w:p>
    <w:p w14:paraId="0F62BF44" w14:textId="358AE3E3"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 xml:space="preserve">Driver characteristics (age, prior claims, experience) </w:t>
      </w:r>
    </w:p>
    <w:p w14:paraId="5FB0CEC6" w14:textId="7DA25D0E"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Vehicle risk classes</w:t>
      </w:r>
    </w:p>
    <w:p w14:paraId="12BBCAA7" w14:textId="257F7441"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 xml:space="preserve">Geographic exposure </w:t>
      </w:r>
    </w:p>
    <w:p w14:paraId="5EF24B29" w14:textId="77777777" w:rsidR="00445ED2" w:rsidRPr="00445ED2" w:rsidRDefault="00445ED2" w:rsidP="00445ED2">
      <w:pPr>
        <w:rPr>
          <w:rFonts w:ascii="Times New Roman" w:hAnsi="Times New Roman" w:cs="Times New Roman"/>
        </w:rPr>
      </w:pPr>
    </w:p>
    <w:p w14:paraId="6DED137E" w14:textId="7F039E23" w:rsidR="00445ED2" w:rsidRPr="00445ED2" w:rsidRDefault="00445ED2" w:rsidP="00445ED2">
      <w:pPr>
        <w:rPr>
          <w:rFonts w:ascii="Times New Roman" w:hAnsi="Times New Roman" w:cs="Times New Roman"/>
          <w:b/>
          <w:bCs/>
        </w:rPr>
      </w:pPr>
      <w:r w:rsidRPr="00445ED2">
        <w:rPr>
          <w:rFonts w:ascii="Times New Roman" w:hAnsi="Times New Roman" w:cs="Times New Roman"/>
          <w:b/>
          <w:bCs/>
        </w:rPr>
        <w:t>Pricing Framework</w:t>
      </w:r>
    </w:p>
    <w:p w14:paraId="6E6D5283" w14:textId="17305F8B"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The model decomposes premiums into: </w:t>
      </w:r>
    </w:p>
    <w:p w14:paraId="40957571" w14:textId="1D9528C8"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Premium = Frequency x Severity + Expenses + Profit Margin </w:t>
      </w:r>
    </w:p>
    <w:p w14:paraId="245FAA6E" w14:textId="77777777" w:rsidR="00445ED2" w:rsidRPr="00445ED2" w:rsidRDefault="00445ED2" w:rsidP="00445ED2">
      <w:pPr>
        <w:rPr>
          <w:rFonts w:ascii="Times New Roman" w:hAnsi="Times New Roman" w:cs="Times New Roman"/>
        </w:rPr>
      </w:pPr>
    </w:p>
    <w:p w14:paraId="7F741162" w14:textId="52CF10D5"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Where frequency revolves around factors such as age, experience, prior claims and postcode. </w:t>
      </w:r>
    </w:p>
    <w:p w14:paraId="75A6783C" w14:textId="0680F660"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Severity revolves around the vehicle itself (price, repair costs and availability of parts). </w:t>
      </w:r>
    </w:p>
    <w:p w14:paraId="51EC8B32" w14:textId="05E0B4F5" w:rsidR="00445ED2" w:rsidRPr="00445ED2" w:rsidRDefault="00445ED2" w:rsidP="00445ED2">
      <w:pPr>
        <w:rPr>
          <w:rFonts w:ascii="Times New Roman" w:hAnsi="Times New Roman" w:cs="Times New Roman"/>
        </w:rPr>
      </w:pPr>
      <w:r w:rsidRPr="00445ED2">
        <w:rPr>
          <w:rFonts w:ascii="Times New Roman" w:hAnsi="Times New Roman" w:cs="Times New Roman"/>
        </w:rPr>
        <w:br/>
        <w:t xml:space="preserve">The AI assistant separates these parts to mirror GLM pricing frameworks. </w:t>
      </w:r>
    </w:p>
    <w:p w14:paraId="5E2C7352" w14:textId="77777777" w:rsidR="00445ED2" w:rsidRPr="00445ED2" w:rsidRDefault="00445ED2" w:rsidP="00445ED2">
      <w:pPr>
        <w:rPr>
          <w:rFonts w:ascii="Times New Roman" w:hAnsi="Times New Roman" w:cs="Times New Roman"/>
          <w:b/>
          <w:bCs/>
        </w:rPr>
      </w:pPr>
    </w:p>
    <w:p w14:paraId="1E936834" w14:textId="06DCC2DE" w:rsidR="00445ED2" w:rsidRPr="00445ED2" w:rsidRDefault="00445ED2" w:rsidP="00445ED2">
      <w:pPr>
        <w:rPr>
          <w:rFonts w:ascii="Times New Roman" w:hAnsi="Times New Roman" w:cs="Times New Roman"/>
          <w:b/>
          <w:bCs/>
        </w:rPr>
      </w:pPr>
      <w:r w:rsidRPr="00445ED2">
        <w:rPr>
          <w:rFonts w:ascii="Times New Roman" w:hAnsi="Times New Roman" w:cs="Times New Roman"/>
          <w:b/>
          <w:bCs/>
        </w:rPr>
        <w:t>Ethical Review</w:t>
      </w:r>
    </w:p>
    <w:p w14:paraId="41426640" w14:textId="61534B26" w:rsidR="00445ED2" w:rsidRPr="00445ED2" w:rsidRDefault="00445ED2" w:rsidP="00445ED2">
      <w:pPr>
        <w:rPr>
          <w:rFonts w:ascii="Times New Roman" w:hAnsi="Times New Roman" w:cs="Times New Roman"/>
        </w:rPr>
      </w:pPr>
      <w:r w:rsidRPr="00445ED2">
        <w:rPr>
          <w:rFonts w:ascii="Times New Roman" w:hAnsi="Times New Roman" w:cs="Times New Roman"/>
        </w:rPr>
        <w:t>The AI assistant has an ethical layer incorporated into it, which highlights when sensitive variables influence the risk assessment. The model seeks to demonstrate indirect discrimination concerns and subsequent potential impacts.</w:t>
      </w:r>
    </w:p>
    <w:p w14:paraId="13C3DA04" w14:textId="77777777" w:rsidR="00445ED2" w:rsidRPr="00445ED2" w:rsidRDefault="00445ED2" w:rsidP="00445ED2">
      <w:pPr>
        <w:rPr>
          <w:rFonts w:ascii="Times New Roman" w:hAnsi="Times New Roman" w:cs="Times New Roman"/>
        </w:rPr>
      </w:pPr>
    </w:p>
    <w:p w14:paraId="7025C1FE" w14:textId="0DCE9113" w:rsidR="00445ED2" w:rsidRPr="00445ED2" w:rsidRDefault="00445ED2" w:rsidP="00445ED2">
      <w:pPr>
        <w:rPr>
          <w:rFonts w:ascii="Times New Roman" w:hAnsi="Times New Roman" w:cs="Times New Roman"/>
          <w:b/>
          <w:bCs/>
        </w:rPr>
      </w:pPr>
      <w:r w:rsidRPr="00445ED2">
        <w:rPr>
          <w:rFonts w:ascii="Times New Roman" w:hAnsi="Times New Roman" w:cs="Times New Roman"/>
          <w:b/>
          <w:bCs/>
        </w:rPr>
        <w:t xml:space="preserve">Governance </w:t>
      </w:r>
    </w:p>
    <w:p w14:paraId="3DB1283D" w14:textId="179ABFB6"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The model avoids </w:t>
      </w:r>
    </w:p>
    <w:p w14:paraId="1EEE54DB" w14:textId="31B00535"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Citing propriety insurance data</w:t>
      </w:r>
    </w:p>
    <w:p w14:paraId="71673C11" w14:textId="55008D4B"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Fabricating figures</w:t>
      </w:r>
    </w:p>
    <w:p w14:paraId="25402796" w14:textId="545B2A8A"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Using precise premiums</w:t>
      </w:r>
    </w:p>
    <w:p w14:paraId="5D665D50" w14:textId="77777777" w:rsidR="00445ED2" w:rsidRPr="00445ED2" w:rsidRDefault="00445ED2" w:rsidP="00445ED2">
      <w:pPr>
        <w:pStyle w:val="ListParagraph"/>
        <w:numPr>
          <w:ilvl w:val="0"/>
          <w:numId w:val="1"/>
        </w:numPr>
        <w:rPr>
          <w:rFonts w:ascii="Times New Roman" w:hAnsi="Times New Roman" w:cs="Times New Roman"/>
        </w:rPr>
      </w:pPr>
    </w:p>
    <w:p w14:paraId="5C3790BE" w14:textId="773ED701" w:rsidR="00445ED2" w:rsidRPr="00445ED2" w:rsidRDefault="00445ED2" w:rsidP="00445ED2">
      <w:pPr>
        <w:rPr>
          <w:rFonts w:ascii="Times New Roman" w:hAnsi="Times New Roman" w:cs="Times New Roman"/>
          <w:b/>
          <w:bCs/>
        </w:rPr>
      </w:pPr>
      <w:r w:rsidRPr="00445ED2">
        <w:rPr>
          <w:rFonts w:ascii="Times New Roman" w:hAnsi="Times New Roman" w:cs="Times New Roman"/>
          <w:b/>
          <w:bCs/>
        </w:rPr>
        <w:t>Model Limitations</w:t>
      </w:r>
    </w:p>
    <w:p w14:paraId="522337E3" w14:textId="6BB48DAE"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 xml:space="preserve">No empirical dataset calibration </w:t>
      </w:r>
    </w:p>
    <w:p w14:paraId="53FF5BA2" w14:textId="4323534E"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 xml:space="preserve">Sensitive to prompt phrasing </w:t>
      </w:r>
    </w:p>
    <w:p w14:paraId="4FA7FB14" w14:textId="26BDE572" w:rsidR="00445ED2" w:rsidRPr="00445ED2" w:rsidRDefault="00445ED2" w:rsidP="00445ED2">
      <w:pPr>
        <w:pStyle w:val="ListParagraph"/>
        <w:numPr>
          <w:ilvl w:val="0"/>
          <w:numId w:val="1"/>
        </w:numPr>
        <w:rPr>
          <w:rFonts w:ascii="Times New Roman" w:hAnsi="Times New Roman" w:cs="Times New Roman"/>
        </w:rPr>
      </w:pPr>
      <w:r w:rsidRPr="00445ED2">
        <w:rPr>
          <w:rFonts w:ascii="Times New Roman" w:hAnsi="Times New Roman" w:cs="Times New Roman"/>
        </w:rPr>
        <w:t xml:space="preserve">Unable to quantify uncertainty </w:t>
      </w:r>
    </w:p>
    <w:p w14:paraId="5CABC587" w14:textId="4376FB70" w:rsidR="00445ED2" w:rsidRPr="00445ED2" w:rsidRDefault="00445ED2" w:rsidP="00445ED2">
      <w:pPr>
        <w:pStyle w:val="ListParagraph"/>
        <w:rPr>
          <w:rFonts w:ascii="Times New Roman" w:hAnsi="Times New Roman" w:cs="Times New Roman"/>
        </w:rPr>
      </w:pPr>
    </w:p>
    <w:p w14:paraId="651CCBE2" w14:textId="1EB56B53" w:rsidR="00445ED2" w:rsidRDefault="00445ED2">
      <w:pPr>
        <w:rPr>
          <w:rFonts w:ascii="Times New Roman" w:hAnsi="Times New Roman" w:cs="Times New Roman"/>
          <w:b/>
          <w:bCs/>
        </w:rPr>
      </w:pPr>
      <w:r>
        <w:rPr>
          <w:rFonts w:ascii="Times New Roman" w:hAnsi="Times New Roman" w:cs="Times New Roman"/>
          <w:b/>
          <w:bCs/>
        </w:rPr>
        <w:t>Example Cases</w:t>
      </w:r>
    </w:p>
    <w:p w14:paraId="7B0FED70" w14:textId="6EB56BAE" w:rsidR="00445ED2" w:rsidRDefault="00445ED2">
      <w:pPr>
        <w:rPr>
          <w:rFonts w:ascii="Times New Roman" w:hAnsi="Times New Roman" w:cs="Times New Roman"/>
          <w:b/>
          <w:bCs/>
        </w:rPr>
      </w:pPr>
      <w:r>
        <w:rPr>
          <w:rFonts w:ascii="Times New Roman" w:hAnsi="Times New Roman" w:cs="Times New Roman"/>
          <w:b/>
          <w:bCs/>
        </w:rPr>
        <w:t>Case 1</w:t>
      </w:r>
    </w:p>
    <w:p w14:paraId="13020878" w14:textId="26BEA6C0" w:rsidR="00445ED2" w:rsidRDefault="00445ED2">
      <w:pPr>
        <w:rPr>
          <w:rFonts w:ascii="Times New Roman" w:hAnsi="Times New Roman" w:cs="Times New Roman"/>
        </w:rPr>
      </w:pPr>
      <w:r w:rsidRPr="00445ED2">
        <w:rPr>
          <w:rFonts w:ascii="Times New Roman" w:hAnsi="Times New Roman" w:cs="Times New Roman"/>
          <w:b/>
          <w:bCs/>
        </w:rPr>
        <w:t>Input:</w:t>
      </w:r>
      <w:r>
        <w:rPr>
          <w:rFonts w:ascii="Times New Roman" w:hAnsi="Times New Roman" w:cs="Times New Roman"/>
        </w:rPr>
        <w:t xml:space="preserve"> </w:t>
      </w:r>
      <w:r w:rsidRPr="00445ED2">
        <w:rPr>
          <w:rFonts w:ascii="Times New Roman" w:hAnsi="Times New Roman" w:cs="Times New Roman"/>
        </w:rPr>
        <w:t>50-year-old</w:t>
      </w:r>
      <w:r w:rsidRPr="00445ED2">
        <w:rPr>
          <w:rFonts w:ascii="Times New Roman" w:hAnsi="Times New Roman" w:cs="Times New Roman"/>
        </w:rPr>
        <w:t>, male, 3228, Toyota Camry, 30 years licensed, 0 prior claims</w:t>
      </w:r>
    </w:p>
    <w:p w14:paraId="72697747" w14:textId="197F0EFB" w:rsidR="00445ED2" w:rsidRPr="00445ED2" w:rsidRDefault="00445ED2">
      <w:pPr>
        <w:rPr>
          <w:rFonts w:ascii="Times New Roman" w:hAnsi="Times New Roman" w:cs="Times New Roman"/>
          <w:b/>
          <w:bCs/>
        </w:rPr>
      </w:pPr>
      <w:r w:rsidRPr="00445ED2">
        <w:rPr>
          <w:rFonts w:ascii="Times New Roman" w:hAnsi="Times New Roman" w:cs="Times New Roman"/>
          <w:b/>
          <w:bCs/>
        </w:rPr>
        <w:t>Output</w:t>
      </w:r>
      <w:r>
        <w:rPr>
          <w:rFonts w:ascii="Times New Roman" w:hAnsi="Times New Roman" w:cs="Times New Roman"/>
          <w:b/>
          <w:bCs/>
        </w:rPr>
        <w:t>:</w:t>
      </w:r>
    </w:p>
    <w:p w14:paraId="7984AEE5"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As a senior pricing actuary in the Victorian motor insurance market, I will assess this risk profile using standard actuarial decomposition. This analysis assumes a comprehensive car insurance policy under current Victorian regulatory frameworks.</w:t>
      </w:r>
    </w:p>
    <w:p w14:paraId="72367628" w14:textId="77777777" w:rsidR="00445ED2" w:rsidRPr="00445ED2" w:rsidRDefault="00445ED2" w:rsidP="00445ED2">
      <w:pPr>
        <w:rPr>
          <w:rFonts w:ascii="Times New Roman" w:hAnsi="Times New Roman" w:cs="Times New Roman"/>
        </w:rPr>
      </w:pPr>
    </w:p>
    <w:p w14:paraId="2E5FDD2F" w14:textId="7794E027" w:rsidR="00445ED2" w:rsidRPr="00445ED2" w:rsidRDefault="00445ED2" w:rsidP="00445ED2">
      <w:pPr>
        <w:rPr>
          <w:rFonts w:ascii="Times New Roman" w:hAnsi="Times New Roman" w:cs="Times New Roman"/>
        </w:rPr>
      </w:pPr>
      <w:r w:rsidRPr="00445ED2">
        <w:rPr>
          <w:rFonts w:ascii="Times New Roman" w:hAnsi="Times New Roman" w:cs="Times New Roman"/>
        </w:rPr>
        <w:t>Risk Classification</w:t>
      </w:r>
    </w:p>
    <w:p w14:paraId="2EB52945" w14:textId="77777777" w:rsidR="00445ED2" w:rsidRPr="00445ED2" w:rsidRDefault="00445ED2" w:rsidP="00445ED2">
      <w:pPr>
        <w:rPr>
          <w:rFonts w:ascii="Times New Roman" w:hAnsi="Times New Roman" w:cs="Times New Roman"/>
        </w:rPr>
      </w:pPr>
    </w:p>
    <w:p w14:paraId="76FD03B2" w14:textId="475DDC00" w:rsidR="00445ED2" w:rsidRPr="00445ED2" w:rsidRDefault="00445ED2" w:rsidP="00445ED2">
      <w:pPr>
        <w:rPr>
          <w:rFonts w:ascii="Times New Roman" w:hAnsi="Times New Roman" w:cs="Times New Roman"/>
        </w:rPr>
      </w:pPr>
      <w:r w:rsidRPr="00445ED2">
        <w:rPr>
          <w:rFonts w:ascii="Times New Roman" w:hAnsi="Times New Roman" w:cs="Times New Roman"/>
        </w:rPr>
        <w:lastRenderedPageBreak/>
        <w:t>This profile is classified as a Mature, Low-Risk Operator. The combination of significant driving experience and a clean claims history places this risk in a preferred tier for standard motor portfolios.</w:t>
      </w:r>
    </w:p>
    <w:p w14:paraId="6383B661" w14:textId="77777777" w:rsidR="00445ED2" w:rsidRPr="00445ED2" w:rsidRDefault="00445ED2" w:rsidP="00445ED2">
      <w:pPr>
        <w:rPr>
          <w:rFonts w:ascii="Times New Roman" w:hAnsi="Times New Roman" w:cs="Times New Roman"/>
        </w:rPr>
      </w:pPr>
    </w:p>
    <w:p w14:paraId="4EF884AC"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w:t>
      </w:r>
    </w:p>
    <w:p w14:paraId="2F06A7BB" w14:textId="77777777" w:rsidR="00445ED2" w:rsidRPr="00445ED2" w:rsidRDefault="00445ED2" w:rsidP="00445ED2">
      <w:pPr>
        <w:rPr>
          <w:rFonts w:ascii="Times New Roman" w:hAnsi="Times New Roman" w:cs="Times New Roman"/>
        </w:rPr>
      </w:pPr>
    </w:p>
    <w:p w14:paraId="2D5D8455" w14:textId="76CDBD72" w:rsidR="00445ED2" w:rsidRPr="00445ED2" w:rsidRDefault="00445ED2" w:rsidP="00445ED2">
      <w:pPr>
        <w:rPr>
          <w:rFonts w:ascii="Times New Roman" w:hAnsi="Times New Roman" w:cs="Times New Roman"/>
        </w:rPr>
      </w:pPr>
      <w:r w:rsidRPr="00445ED2">
        <w:rPr>
          <w:rFonts w:ascii="Times New Roman" w:hAnsi="Times New Roman" w:cs="Times New Roman"/>
        </w:rPr>
        <w:t>Frequency Drivers</w:t>
      </w:r>
    </w:p>
    <w:p w14:paraId="77AA6AB8" w14:textId="77777777" w:rsidR="00445ED2" w:rsidRPr="00445ED2" w:rsidRDefault="00445ED2" w:rsidP="00445ED2">
      <w:pPr>
        <w:rPr>
          <w:rFonts w:ascii="Times New Roman" w:hAnsi="Times New Roman" w:cs="Times New Roman"/>
        </w:rPr>
      </w:pPr>
    </w:p>
    <w:p w14:paraId="5FCD1DBC" w14:textId="3A48F8F1" w:rsidR="00445ED2" w:rsidRPr="00445ED2" w:rsidRDefault="00445ED2" w:rsidP="00445ED2">
      <w:pPr>
        <w:rPr>
          <w:rFonts w:ascii="Times New Roman" w:hAnsi="Times New Roman" w:cs="Times New Roman"/>
        </w:rPr>
      </w:pPr>
      <w:r w:rsidRPr="00445ED2">
        <w:rPr>
          <w:rFonts w:ascii="Times New Roman" w:hAnsi="Times New Roman" w:cs="Times New Roman"/>
        </w:rPr>
        <w:t>Driving Experience: With 30 years licensed, the "learning curve" risk is negligible. Actuarial logic suggests that experienced drivers have better hazard perception.</w:t>
      </w:r>
    </w:p>
    <w:p w14:paraId="5AFAB01A" w14:textId="6E632168" w:rsidR="00445ED2" w:rsidRPr="00445ED2" w:rsidRDefault="00445ED2" w:rsidP="00445ED2">
      <w:pPr>
        <w:rPr>
          <w:rFonts w:ascii="Times New Roman" w:hAnsi="Times New Roman" w:cs="Times New Roman"/>
        </w:rPr>
      </w:pPr>
      <w:r w:rsidRPr="00445ED2">
        <w:rPr>
          <w:rFonts w:ascii="Times New Roman" w:hAnsi="Times New Roman" w:cs="Times New Roman"/>
        </w:rPr>
        <w:t>Claims History: 0 prior claims is a primary indicator of a low-frequency risk. It suggests a high "No Claim Bonus" (NCB) or high rating tier.</w:t>
      </w:r>
    </w:p>
    <w:p w14:paraId="5E42CA7B" w14:textId="7ADBF443" w:rsidR="00445ED2" w:rsidRPr="00445ED2" w:rsidRDefault="00445ED2" w:rsidP="00445ED2">
      <w:pPr>
        <w:rPr>
          <w:rFonts w:ascii="Times New Roman" w:hAnsi="Times New Roman" w:cs="Times New Roman"/>
        </w:rPr>
      </w:pPr>
      <w:r w:rsidRPr="00445ED2">
        <w:rPr>
          <w:rFonts w:ascii="Times New Roman" w:hAnsi="Times New Roman" w:cs="Times New Roman"/>
        </w:rPr>
        <w:t>Vehicle Type: The Toyota Camry is statistically associated with "conservative" driving cohorts compared to high-performance or enthusiast vehicles.</w:t>
      </w:r>
    </w:p>
    <w:p w14:paraId="435EC63F" w14:textId="48B52874" w:rsidR="00445ED2" w:rsidRPr="00445ED2" w:rsidRDefault="00445ED2" w:rsidP="00445ED2">
      <w:pPr>
        <w:rPr>
          <w:rFonts w:ascii="Times New Roman" w:hAnsi="Times New Roman" w:cs="Times New Roman"/>
        </w:rPr>
      </w:pPr>
      <w:r w:rsidRPr="00445ED2">
        <w:rPr>
          <w:rFonts w:ascii="Times New Roman" w:hAnsi="Times New Roman" w:cs="Times New Roman"/>
        </w:rPr>
        <w:t>Postcode (3228</w:t>
      </w:r>
      <w:proofErr w:type="gramStart"/>
      <w:r w:rsidRPr="00445ED2">
        <w:rPr>
          <w:rFonts w:ascii="Times New Roman" w:hAnsi="Times New Roman" w:cs="Times New Roman"/>
        </w:rPr>
        <w:t>):This</w:t>
      </w:r>
      <w:proofErr w:type="gramEnd"/>
      <w:r w:rsidRPr="00445ED2">
        <w:rPr>
          <w:rFonts w:ascii="Times New Roman" w:hAnsi="Times New Roman" w:cs="Times New Roman"/>
        </w:rPr>
        <w:t xml:space="preserve"> covers the Bellarine/Torquay region. While subject to some tourist traffic seasonality, it generally avoids the high-density congestion and "stop-start" accident frequency of the Melbourne CBD.</w:t>
      </w:r>
    </w:p>
    <w:p w14:paraId="25E83881" w14:textId="77777777" w:rsidR="00445ED2" w:rsidRPr="00445ED2" w:rsidRDefault="00445ED2" w:rsidP="00445ED2">
      <w:pPr>
        <w:rPr>
          <w:rFonts w:ascii="Times New Roman" w:hAnsi="Times New Roman" w:cs="Times New Roman"/>
        </w:rPr>
      </w:pPr>
    </w:p>
    <w:p w14:paraId="58CC69A1" w14:textId="15D27A1F" w:rsidR="00445ED2" w:rsidRPr="00445ED2" w:rsidRDefault="00445ED2" w:rsidP="00445ED2">
      <w:pPr>
        <w:rPr>
          <w:rFonts w:ascii="Times New Roman" w:hAnsi="Times New Roman" w:cs="Times New Roman"/>
        </w:rPr>
      </w:pPr>
      <w:r w:rsidRPr="00445ED2">
        <w:rPr>
          <w:rFonts w:ascii="Times New Roman" w:hAnsi="Times New Roman" w:cs="Times New Roman"/>
        </w:rPr>
        <w:t>Severity Drivers</w:t>
      </w:r>
    </w:p>
    <w:p w14:paraId="34FD2B3E" w14:textId="77777777" w:rsidR="00445ED2" w:rsidRPr="00445ED2" w:rsidRDefault="00445ED2" w:rsidP="00445ED2">
      <w:pPr>
        <w:rPr>
          <w:rFonts w:ascii="Times New Roman" w:hAnsi="Times New Roman" w:cs="Times New Roman"/>
        </w:rPr>
      </w:pPr>
    </w:p>
    <w:p w14:paraId="6F70B69F" w14:textId="13D3788E" w:rsidR="00445ED2" w:rsidRPr="00445ED2" w:rsidRDefault="00445ED2" w:rsidP="00445ED2">
      <w:pPr>
        <w:rPr>
          <w:rFonts w:ascii="Times New Roman" w:hAnsi="Times New Roman" w:cs="Times New Roman"/>
        </w:rPr>
      </w:pPr>
      <w:r w:rsidRPr="00445ED2">
        <w:rPr>
          <w:rFonts w:ascii="Times New Roman" w:hAnsi="Times New Roman" w:cs="Times New Roman"/>
        </w:rPr>
        <w:t>Vehicle Repairability: The Toyota Camry is a high-volume vehicle in Australia. Parts availability is high, and repair methods are standard, which keeps the "Average Cost per Claim" (ACPC) moderate.</w:t>
      </w:r>
    </w:p>
    <w:p w14:paraId="521AEE71" w14:textId="3A112112" w:rsidR="00445ED2" w:rsidRPr="00445ED2" w:rsidRDefault="00445ED2" w:rsidP="00445ED2">
      <w:pPr>
        <w:rPr>
          <w:rFonts w:ascii="Times New Roman" w:hAnsi="Times New Roman" w:cs="Times New Roman"/>
        </w:rPr>
      </w:pPr>
      <w:r w:rsidRPr="00445ED2">
        <w:rPr>
          <w:rFonts w:ascii="Times New Roman" w:hAnsi="Times New Roman" w:cs="Times New Roman"/>
        </w:rPr>
        <w:t>Postcode Environment: Regional/suburban areas like 3228 may have higher average speeds than the CBD, which can lead to higher impact severity if an accident does occur, though this is offset by lower frequency.</w:t>
      </w:r>
    </w:p>
    <w:p w14:paraId="6E3A487A" w14:textId="0FEFA9FC" w:rsidR="00445ED2" w:rsidRPr="00445ED2" w:rsidRDefault="00445ED2" w:rsidP="00445ED2">
      <w:pPr>
        <w:rPr>
          <w:rFonts w:ascii="Times New Roman" w:hAnsi="Times New Roman" w:cs="Times New Roman"/>
        </w:rPr>
      </w:pPr>
      <w:r w:rsidRPr="00445ED2">
        <w:rPr>
          <w:rFonts w:ascii="Times New Roman" w:hAnsi="Times New Roman" w:cs="Times New Roman"/>
        </w:rPr>
        <w:t>Sum Insured: As a common mid-size sedan, the total loss payout is predictable and stable compared to luxury imports.</w:t>
      </w:r>
    </w:p>
    <w:p w14:paraId="4CFB71F2" w14:textId="77777777" w:rsidR="00445ED2" w:rsidRPr="00445ED2" w:rsidRDefault="00445ED2" w:rsidP="00445ED2">
      <w:pPr>
        <w:rPr>
          <w:rFonts w:ascii="Times New Roman" w:hAnsi="Times New Roman" w:cs="Times New Roman"/>
        </w:rPr>
      </w:pPr>
    </w:p>
    <w:p w14:paraId="654F33E4"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w:t>
      </w:r>
    </w:p>
    <w:p w14:paraId="2A86B002" w14:textId="77777777" w:rsidR="00445ED2" w:rsidRPr="00445ED2" w:rsidRDefault="00445ED2" w:rsidP="00445ED2">
      <w:pPr>
        <w:rPr>
          <w:rFonts w:ascii="Times New Roman" w:hAnsi="Times New Roman" w:cs="Times New Roman"/>
        </w:rPr>
      </w:pPr>
    </w:p>
    <w:p w14:paraId="0C1B1213" w14:textId="7858D846" w:rsidR="00445ED2" w:rsidRPr="00445ED2" w:rsidRDefault="00445ED2" w:rsidP="00445ED2">
      <w:pPr>
        <w:rPr>
          <w:rFonts w:ascii="Times New Roman" w:hAnsi="Times New Roman" w:cs="Times New Roman"/>
        </w:rPr>
      </w:pPr>
      <w:r w:rsidRPr="00445ED2">
        <w:rPr>
          <w:rFonts w:ascii="Times New Roman" w:hAnsi="Times New Roman" w:cs="Times New Roman"/>
        </w:rPr>
        <w:t>Conceptual Premium Indication</w:t>
      </w:r>
    </w:p>
    <w:p w14:paraId="0591121C" w14:textId="77777777" w:rsidR="00445ED2" w:rsidRPr="00445ED2" w:rsidRDefault="00445ED2" w:rsidP="00445ED2">
      <w:pPr>
        <w:rPr>
          <w:rFonts w:ascii="Times New Roman" w:hAnsi="Times New Roman" w:cs="Times New Roman"/>
        </w:rPr>
      </w:pPr>
    </w:p>
    <w:p w14:paraId="29708049"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The pure premium is derived from the following logic:</w:t>
      </w:r>
    </w:p>
    <w:p w14:paraId="5BF62844" w14:textId="77777777" w:rsidR="00445ED2" w:rsidRPr="00445ED2" w:rsidRDefault="00445ED2" w:rsidP="00445ED2">
      <w:pPr>
        <w:rPr>
          <w:rFonts w:ascii="Times New Roman" w:hAnsi="Times New Roman" w:cs="Times New Roman"/>
        </w:rPr>
      </w:pPr>
    </w:p>
    <w:p w14:paraId="0D7397F1" w14:textId="77777777" w:rsidR="00445ED2" w:rsidRPr="00445ED2" w:rsidRDefault="00445ED2" w:rsidP="00445ED2">
      <w:pPr>
        <w:rPr>
          <w:rFonts w:ascii="Times New Roman" w:hAnsi="Times New Roman" w:cs="Times New Roman"/>
        </w:rPr>
      </w:pPr>
    </w:p>
    <w:p w14:paraId="2698A6DC" w14:textId="2320DBC9" w:rsidR="00445ED2" w:rsidRPr="00445ED2" w:rsidRDefault="00445ED2" w:rsidP="00445ED2">
      <w:pPr>
        <w:rPr>
          <w:rFonts w:ascii="Times New Roman" w:hAnsi="Times New Roman" w:cs="Times New Roman"/>
        </w:rPr>
      </w:pPr>
      <w:r w:rsidRPr="00445ED2">
        <w:rPr>
          <w:rFonts w:ascii="Times New Roman" w:hAnsi="Times New Roman" w:cs="Times New Roman"/>
        </w:rPr>
        <w:t>Premium</w:t>
      </w:r>
      <w:r>
        <w:rPr>
          <w:rFonts w:ascii="Times New Roman" w:hAnsi="Times New Roman" w:cs="Times New Roman"/>
        </w:rPr>
        <w:t xml:space="preserve"> a</w:t>
      </w:r>
      <w:r w:rsidRPr="00445ED2">
        <w:rPr>
          <w:rFonts w:ascii="Times New Roman" w:hAnsi="Times New Roman" w:cs="Times New Roman"/>
        </w:rPr>
        <w:t>pprox.</w:t>
      </w:r>
      <w:r w:rsidRPr="00445ED2">
        <w:rPr>
          <w:rFonts w:ascii="Times New Roman" w:hAnsi="Times New Roman" w:cs="Times New Roman"/>
        </w:rPr>
        <w:t xml:space="preserve"> </w:t>
      </w:r>
      <w:r>
        <w:rPr>
          <w:rFonts w:ascii="Times New Roman" w:hAnsi="Times New Roman" w:cs="Times New Roman"/>
        </w:rPr>
        <w:t xml:space="preserve">= </w:t>
      </w:r>
      <w:r w:rsidRPr="00445ED2">
        <w:rPr>
          <w:rFonts w:ascii="Times New Roman" w:hAnsi="Times New Roman" w:cs="Times New Roman"/>
        </w:rPr>
        <w:t xml:space="preserve">(Frequency </w:t>
      </w:r>
      <w:r>
        <w:rPr>
          <w:rFonts w:ascii="Times New Roman" w:hAnsi="Times New Roman" w:cs="Times New Roman"/>
        </w:rPr>
        <w:t xml:space="preserve">x </w:t>
      </w:r>
      <w:r w:rsidRPr="00445ED2">
        <w:rPr>
          <w:rFonts w:ascii="Times New Roman" w:hAnsi="Times New Roman" w:cs="Times New Roman"/>
        </w:rPr>
        <w:t>Severity) + Expenses + Profit Margin</w:t>
      </w:r>
    </w:p>
    <w:p w14:paraId="49460323" w14:textId="77777777" w:rsidR="00445ED2" w:rsidRPr="00445ED2" w:rsidRDefault="00445ED2" w:rsidP="00445ED2">
      <w:pPr>
        <w:rPr>
          <w:rFonts w:ascii="Times New Roman" w:hAnsi="Times New Roman" w:cs="Times New Roman"/>
        </w:rPr>
      </w:pPr>
    </w:p>
    <w:p w14:paraId="1DF33EEB" w14:textId="1C9CD2BC" w:rsidR="00445ED2" w:rsidRPr="00445ED2" w:rsidRDefault="00445ED2" w:rsidP="00445ED2">
      <w:pPr>
        <w:rPr>
          <w:rFonts w:ascii="Times New Roman" w:hAnsi="Times New Roman" w:cs="Times New Roman"/>
        </w:rPr>
      </w:pPr>
      <w:r w:rsidRPr="00445ED2">
        <w:rPr>
          <w:rFonts w:ascii="Times New Roman" w:hAnsi="Times New Roman" w:cs="Times New Roman"/>
        </w:rPr>
        <w:t>Frequency: Expected to be significantly below the portfolio mean.</w:t>
      </w:r>
    </w:p>
    <w:p w14:paraId="17C171C0" w14:textId="18889A84" w:rsidR="00445ED2" w:rsidRPr="00445ED2" w:rsidRDefault="00445ED2" w:rsidP="00445ED2">
      <w:pPr>
        <w:rPr>
          <w:rFonts w:ascii="Times New Roman" w:hAnsi="Times New Roman" w:cs="Times New Roman"/>
        </w:rPr>
      </w:pPr>
      <w:r w:rsidRPr="00445ED2">
        <w:rPr>
          <w:rFonts w:ascii="Times New Roman" w:hAnsi="Times New Roman" w:cs="Times New Roman"/>
        </w:rPr>
        <w:t>Severity: Expected to be at or slightly below the portfolio mean.</w:t>
      </w:r>
    </w:p>
    <w:p w14:paraId="733584F3" w14:textId="4B9C8987" w:rsidR="00445ED2" w:rsidRPr="00445ED2" w:rsidRDefault="00445ED2" w:rsidP="00445ED2">
      <w:pPr>
        <w:rPr>
          <w:rFonts w:ascii="Times New Roman" w:hAnsi="Times New Roman" w:cs="Times New Roman"/>
        </w:rPr>
      </w:pPr>
      <w:r w:rsidRPr="00445ED2">
        <w:rPr>
          <w:rFonts w:ascii="Times New Roman" w:hAnsi="Times New Roman" w:cs="Times New Roman"/>
        </w:rPr>
        <w:t>Expenses: Includes Victorian Stamp Duty (10%) and GST (10%), plus acquisition and admin costs.</w:t>
      </w:r>
    </w:p>
    <w:p w14:paraId="29F09120" w14:textId="77777777" w:rsidR="00445ED2" w:rsidRDefault="00445ED2" w:rsidP="00445ED2">
      <w:pPr>
        <w:rPr>
          <w:rFonts w:ascii="Times New Roman" w:hAnsi="Times New Roman" w:cs="Times New Roman"/>
        </w:rPr>
      </w:pPr>
    </w:p>
    <w:p w14:paraId="438CBA59" w14:textId="24A940E7" w:rsidR="00445ED2" w:rsidRPr="00445ED2" w:rsidRDefault="00445ED2" w:rsidP="00445ED2">
      <w:pPr>
        <w:rPr>
          <w:rFonts w:ascii="Times New Roman" w:hAnsi="Times New Roman" w:cs="Times New Roman"/>
        </w:rPr>
      </w:pPr>
      <w:r>
        <w:rPr>
          <w:rFonts w:ascii="Times New Roman" w:hAnsi="Times New Roman" w:cs="Times New Roman"/>
        </w:rPr>
        <w:t>R</w:t>
      </w:r>
      <w:r w:rsidRPr="00445ED2">
        <w:rPr>
          <w:rFonts w:ascii="Times New Roman" w:hAnsi="Times New Roman" w:cs="Times New Roman"/>
        </w:rPr>
        <w:t>isk Commentary</w:t>
      </w:r>
    </w:p>
    <w:p w14:paraId="08D5B729" w14:textId="77777777" w:rsidR="00445ED2" w:rsidRPr="00445ED2" w:rsidRDefault="00445ED2" w:rsidP="00445ED2">
      <w:pPr>
        <w:rPr>
          <w:rFonts w:ascii="Times New Roman" w:hAnsi="Times New Roman" w:cs="Times New Roman"/>
        </w:rPr>
      </w:pPr>
    </w:p>
    <w:p w14:paraId="09E056AC" w14:textId="2C2F711E"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The primary risk for this profile is not </w:t>
      </w:r>
      <w:r w:rsidRPr="00445ED2">
        <w:rPr>
          <w:rFonts w:ascii="Times New Roman" w:hAnsi="Times New Roman" w:cs="Times New Roman"/>
        </w:rPr>
        <w:t>behavioural</w:t>
      </w:r>
      <w:r w:rsidRPr="00445ED2">
        <w:rPr>
          <w:rFonts w:ascii="Times New Roman" w:hAnsi="Times New Roman" w:cs="Times New Roman"/>
        </w:rPr>
        <w:t>, but environmental—such as weather events (hail in regional Victoria) or third-party negligence. The "30 years licensed" metric is a strong "cap" on the risk premium, as it signals a driver who has successfully navigated multiple decades of changing road conditions.</w:t>
      </w:r>
    </w:p>
    <w:p w14:paraId="7E69AF7D" w14:textId="77777777" w:rsidR="00445ED2" w:rsidRPr="00445ED2" w:rsidRDefault="00445ED2" w:rsidP="00445ED2">
      <w:pPr>
        <w:rPr>
          <w:rFonts w:ascii="Times New Roman" w:hAnsi="Times New Roman" w:cs="Times New Roman"/>
        </w:rPr>
      </w:pPr>
    </w:p>
    <w:p w14:paraId="377E58A7" w14:textId="33134944" w:rsidR="00445ED2" w:rsidRPr="00445ED2" w:rsidRDefault="00445ED2" w:rsidP="00445ED2">
      <w:pPr>
        <w:rPr>
          <w:rFonts w:ascii="Times New Roman" w:hAnsi="Times New Roman" w:cs="Times New Roman"/>
        </w:rPr>
      </w:pPr>
      <w:r w:rsidRPr="00445ED2">
        <w:rPr>
          <w:rFonts w:ascii="Times New Roman" w:hAnsi="Times New Roman" w:cs="Times New Roman"/>
        </w:rPr>
        <w:lastRenderedPageBreak/>
        <w:t>Ethical &amp; Regulatory Considerations</w:t>
      </w:r>
    </w:p>
    <w:p w14:paraId="051BDD75" w14:textId="77777777" w:rsidR="00445ED2" w:rsidRPr="00445ED2" w:rsidRDefault="00445ED2" w:rsidP="00445ED2">
      <w:pPr>
        <w:rPr>
          <w:rFonts w:ascii="Times New Roman" w:hAnsi="Times New Roman" w:cs="Times New Roman"/>
        </w:rPr>
      </w:pPr>
    </w:p>
    <w:p w14:paraId="190B7C5E" w14:textId="4E89D33D" w:rsidR="00445ED2" w:rsidRPr="00445ED2" w:rsidRDefault="00445ED2" w:rsidP="00445ED2">
      <w:pPr>
        <w:rPr>
          <w:rFonts w:ascii="Times New Roman" w:hAnsi="Times New Roman" w:cs="Times New Roman"/>
        </w:rPr>
      </w:pPr>
      <w:r w:rsidRPr="00445ED2">
        <w:rPr>
          <w:rFonts w:ascii="Times New Roman" w:hAnsi="Times New Roman" w:cs="Times New Roman"/>
        </w:rPr>
        <w:t>Gender: In Australia, insurers can use gender as a rating factor if it is based on actuarial or statistical data. While males historically represent higher risk in younger cohorts, this disparity often narrows significantly in the 50+ age bracket.</w:t>
      </w:r>
    </w:p>
    <w:p w14:paraId="68AED1BA" w14:textId="02E51D1E" w:rsidR="00445ED2" w:rsidRPr="00445ED2" w:rsidRDefault="00445ED2" w:rsidP="00445ED2">
      <w:pPr>
        <w:rPr>
          <w:rFonts w:ascii="Times New Roman" w:hAnsi="Times New Roman" w:cs="Times New Roman"/>
        </w:rPr>
      </w:pPr>
      <w:r w:rsidRPr="00445ED2">
        <w:rPr>
          <w:rFonts w:ascii="Times New Roman" w:hAnsi="Times New Roman" w:cs="Times New Roman"/>
        </w:rPr>
        <w:t>Postcode: Use of geography is standard but must be balanced to ensure "insurance deserts" aren't created. In this case, 3228 is a standard risk zone.</w:t>
      </w:r>
    </w:p>
    <w:p w14:paraId="15B0B386" w14:textId="0C2A4E07" w:rsidR="00445ED2" w:rsidRPr="00445ED2" w:rsidRDefault="00445ED2" w:rsidP="00445ED2">
      <w:pPr>
        <w:rPr>
          <w:rFonts w:ascii="Times New Roman" w:hAnsi="Times New Roman" w:cs="Times New Roman"/>
        </w:rPr>
      </w:pPr>
      <w:r w:rsidRPr="00445ED2">
        <w:rPr>
          <w:rFonts w:ascii="Times New Roman" w:hAnsi="Times New Roman" w:cs="Times New Roman"/>
        </w:rPr>
        <w:t>Pricing Fairness: Under the General Insurance Code of Practice, the premium must reflect the underlying risk. Charging a "loyalty tax" to long-term low-risk drivers is a point of increasing regulatory scrutiny by ASIC.</w:t>
      </w:r>
    </w:p>
    <w:p w14:paraId="36E3E52F" w14:textId="77777777" w:rsidR="00445ED2" w:rsidRPr="00445ED2" w:rsidRDefault="00445ED2" w:rsidP="00445ED2">
      <w:pPr>
        <w:rPr>
          <w:rFonts w:ascii="Times New Roman" w:hAnsi="Times New Roman" w:cs="Times New Roman"/>
        </w:rPr>
      </w:pPr>
    </w:p>
    <w:p w14:paraId="5FDC1D2E"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w:t>
      </w:r>
    </w:p>
    <w:p w14:paraId="1A585723" w14:textId="77777777" w:rsidR="00445ED2" w:rsidRPr="00445ED2" w:rsidRDefault="00445ED2" w:rsidP="00445ED2">
      <w:pPr>
        <w:rPr>
          <w:rFonts w:ascii="Times New Roman" w:hAnsi="Times New Roman" w:cs="Times New Roman"/>
        </w:rPr>
      </w:pPr>
    </w:p>
    <w:p w14:paraId="4A13A2FF" w14:textId="4E00211C" w:rsidR="00445ED2" w:rsidRPr="00445ED2" w:rsidRDefault="00445ED2" w:rsidP="00445ED2">
      <w:pPr>
        <w:rPr>
          <w:rFonts w:ascii="Times New Roman" w:hAnsi="Times New Roman" w:cs="Times New Roman"/>
        </w:rPr>
      </w:pPr>
      <w:r w:rsidRPr="00445ED2">
        <w:rPr>
          <w:rFonts w:ascii="Times New Roman" w:hAnsi="Times New Roman" w:cs="Times New Roman"/>
        </w:rPr>
        <w:t>Summary of Premium Indication</w:t>
      </w:r>
    </w:p>
    <w:p w14:paraId="6E60DCD6" w14:textId="77777777" w:rsidR="00445ED2" w:rsidRPr="00445ED2" w:rsidRDefault="00445ED2" w:rsidP="00445ED2">
      <w:pPr>
        <w:rPr>
          <w:rFonts w:ascii="Times New Roman" w:hAnsi="Times New Roman" w:cs="Times New Roman"/>
        </w:rPr>
      </w:pPr>
    </w:p>
    <w:p w14:paraId="1504F388" w14:textId="62C04689" w:rsidR="00445ED2" w:rsidRPr="00445ED2" w:rsidRDefault="00445ED2" w:rsidP="00445ED2">
      <w:pPr>
        <w:rPr>
          <w:rFonts w:ascii="Times New Roman" w:hAnsi="Times New Roman" w:cs="Times New Roman"/>
        </w:rPr>
      </w:pPr>
      <w:r w:rsidRPr="00445ED2">
        <w:rPr>
          <w:rFonts w:ascii="Times New Roman" w:hAnsi="Times New Roman" w:cs="Times New Roman"/>
        </w:rPr>
        <w:t>Premium Indication:</w:t>
      </w:r>
      <w:r>
        <w:rPr>
          <w:rFonts w:ascii="Times New Roman" w:hAnsi="Times New Roman" w:cs="Times New Roman"/>
        </w:rPr>
        <w:t xml:space="preserve"> </w:t>
      </w:r>
      <w:r w:rsidRPr="00445ED2">
        <w:rPr>
          <w:rFonts w:ascii="Times New Roman" w:hAnsi="Times New Roman" w:cs="Times New Roman"/>
        </w:rPr>
        <w:t>Low</w:t>
      </w:r>
    </w:p>
    <w:p w14:paraId="79FF708F"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Note: For educational purposes only</w:t>
      </w:r>
    </w:p>
    <w:p w14:paraId="578E1B14" w14:textId="77777777" w:rsidR="00445ED2" w:rsidRPr="00445ED2" w:rsidRDefault="00445ED2" w:rsidP="00445ED2">
      <w:pPr>
        <w:rPr>
          <w:rFonts w:ascii="Times New Roman" w:hAnsi="Times New Roman" w:cs="Times New Roman"/>
        </w:rPr>
      </w:pPr>
    </w:p>
    <w:p w14:paraId="5387BFAD" w14:textId="275D9095" w:rsidR="00445ED2" w:rsidRDefault="00445ED2" w:rsidP="00445ED2">
      <w:pPr>
        <w:rPr>
          <w:rFonts w:ascii="Times New Roman" w:hAnsi="Times New Roman" w:cs="Times New Roman"/>
          <w:b/>
          <w:bCs/>
        </w:rPr>
      </w:pPr>
      <w:r>
        <w:rPr>
          <w:rFonts w:ascii="Times New Roman" w:hAnsi="Times New Roman" w:cs="Times New Roman"/>
          <w:b/>
          <w:bCs/>
        </w:rPr>
        <w:t>Case 2</w:t>
      </w:r>
    </w:p>
    <w:p w14:paraId="18E3C1FF" w14:textId="59F232AE" w:rsidR="00445ED2" w:rsidRPr="00445ED2" w:rsidRDefault="00445ED2" w:rsidP="00445ED2">
      <w:pPr>
        <w:rPr>
          <w:rFonts w:ascii="Times New Roman" w:hAnsi="Times New Roman" w:cs="Times New Roman"/>
        </w:rPr>
      </w:pPr>
      <w:r>
        <w:rPr>
          <w:rFonts w:ascii="Times New Roman" w:hAnsi="Times New Roman" w:cs="Times New Roman"/>
          <w:b/>
          <w:bCs/>
        </w:rPr>
        <w:t xml:space="preserve">Input: </w:t>
      </w:r>
      <w:r w:rsidRPr="00445ED2">
        <w:rPr>
          <w:rFonts w:ascii="Times New Roman" w:hAnsi="Times New Roman" w:cs="Times New Roman"/>
        </w:rPr>
        <w:t>23-year-old</w:t>
      </w:r>
      <w:r w:rsidRPr="00445ED2">
        <w:rPr>
          <w:rFonts w:ascii="Times New Roman" w:hAnsi="Times New Roman" w:cs="Times New Roman"/>
        </w:rPr>
        <w:t>, female, 3000, BMW m3, 3 years licensed, 1 prior claim</w:t>
      </w:r>
    </w:p>
    <w:p w14:paraId="25585F16" w14:textId="0FF9ACF9" w:rsidR="00445ED2" w:rsidRDefault="00445ED2" w:rsidP="00445ED2">
      <w:pPr>
        <w:rPr>
          <w:rFonts w:ascii="Times New Roman" w:hAnsi="Times New Roman" w:cs="Times New Roman"/>
          <w:b/>
          <w:bCs/>
        </w:rPr>
      </w:pPr>
      <w:r>
        <w:rPr>
          <w:rFonts w:ascii="Times New Roman" w:hAnsi="Times New Roman" w:cs="Times New Roman"/>
          <w:b/>
          <w:bCs/>
        </w:rPr>
        <w:t>Output</w:t>
      </w:r>
    </w:p>
    <w:p w14:paraId="14B3A5AA" w14:textId="2381574E" w:rsidR="00445ED2" w:rsidRPr="00445ED2" w:rsidRDefault="00445ED2" w:rsidP="00445ED2">
      <w:pPr>
        <w:rPr>
          <w:rFonts w:ascii="Times New Roman" w:hAnsi="Times New Roman" w:cs="Times New Roman"/>
        </w:rPr>
      </w:pPr>
      <w:r w:rsidRPr="00445ED2">
        <w:rPr>
          <w:rFonts w:ascii="Times New Roman" w:hAnsi="Times New Roman" w:cs="Times New Roman"/>
        </w:rPr>
        <w:t>As a senior pricing actuary in the Victorian market, I will assess this risk profile using standard actuarial decomposition. This analysis assumes a comprehensive car insurance policy within the context of the high-density Melbourne CBD environment.</w:t>
      </w:r>
    </w:p>
    <w:p w14:paraId="4AE716D1" w14:textId="77777777" w:rsidR="00445ED2" w:rsidRPr="00445ED2" w:rsidRDefault="00445ED2" w:rsidP="00445ED2">
      <w:pPr>
        <w:rPr>
          <w:rFonts w:ascii="Times New Roman" w:hAnsi="Times New Roman" w:cs="Times New Roman"/>
        </w:rPr>
      </w:pPr>
    </w:p>
    <w:p w14:paraId="1E632246" w14:textId="3B8F2031" w:rsidR="00445ED2" w:rsidRPr="00445ED2" w:rsidRDefault="00445ED2" w:rsidP="00445ED2">
      <w:pPr>
        <w:rPr>
          <w:rFonts w:ascii="Times New Roman" w:hAnsi="Times New Roman" w:cs="Times New Roman"/>
        </w:rPr>
      </w:pPr>
      <w:r w:rsidRPr="00445ED2">
        <w:rPr>
          <w:rFonts w:ascii="Times New Roman" w:hAnsi="Times New Roman" w:cs="Times New Roman"/>
        </w:rPr>
        <w:t>Risk Classification</w:t>
      </w:r>
    </w:p>
    <w:p w14:paraId="5C26A2CE" w14:textId="77777777" w:rsidR="00445ED2" w:rsidRPr="00445ED2" w:rsidRDefault="00445ED2" w:rsidP="00445ED2">
      <w:pPr>
        <w:rPr>
          <w:rFonts w:ascii="Times New Roman" w:hAnsi="Times New Roman" w:cs="Times New Roman"/>
        </w:rPr>
      </w:pPr>
    </w:p>
    <w:p w14:paraId="5140AEB3" w14:textId="159B8019" w:rsidR="00445ED2" w:rsidRPr="00445ED2" w:rsidRDefault="00445ED2" w:rsidP="00445ED2">
      <w:pPr>
        <w:rPr>
          <w:rFonts w:ascii="Times New Roman" w:hAnsi="Times New Roman" w:cs="Times New Roman"/>
        </w:rPr>
      </w:pPr>
      <w:r w:rsidRPr="00445ED2">
        <w:rPr>
          <w:rFonts w:ascii="Times New Roman" w:hAnsi="Times New Roman" w:cs="Times New Roman"/>
        </w:rPr>
        <w:t>This profile is classified as a Young Adult, High-Performance Risk. The combination of limited driving experience, a high-performance vehicle, and a recent claims history places this risk in a high-volatility tier for motor portfolios.</w:t>
      </w:r>
    </w:p>
    <w:p w14:paraId="397AD827" w14:textId="77777777" w:rsidR="00445ED2" w:rsidRPr="00445ED2" w:rsidRDefault="00445ED2" w:rsidP="00445ED2">
      <w:pPr>
        <w:rPr>
          <w:rFonts w:ascii="Times New Roman" w:hAnsi="Times New Roman" w:cs="Times New Roman"/>
        </w:rPr>
      </w:pPr>
    </w:p>
    <w:p w14:paraId="38C322D1"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w:t>
      </w:r>
    </w:p>
    <w:p w14:paraId="311B6CD1" w14:textId="77777777" w:rsidR="00445ED2" w:rsidRPr="00445ED2" w:rsidRDefault="00445ED2" w:rsidP="00445ED2">
      <w:pPr>
        <w:rPr>
          <w:rFonts w:ascii="Times New Roman" w:hAnsi="Times New Roman" w:cs="Times New Roman"/>
        </w:rPr>
      </w:pPr>
    </w:p>
    <w:p w14:paraId="042A4CF2" w14:textId="4C1BDA40"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Frequency Drivers</w:t>
      </w:r>
    </w:p>
    <w:p w14:paraId="65D68A2C" w14:textId="77777777" w:rsidR="00445ED2" w:rsidRPr="00445ED2" w:rsidRDefault="00445ED2" w:rsidP="00445ED2">
      <w:pPr>
        <w:rPr>
          <w:rFonts w:ascii="Times New Roman" w:hAnsi="Times New Roman" w:cs="Times New Roman"/>
        </w:rPr>
      </w:pPr>
    </w:p>
    <w:p w14:paraId="727FA4E7" w14:textId="19AC01D8"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Driving Experience: With only 3 years licensed, the driver is still within the "high-risk" developmental window. Actuarial logic shows a strong correlation between low years licensed and increased collision frequency.</w:t>
      </w:r>
    </w:p>
    <w:p w14:paraId="25E639D7" w14:textId="1112BF24"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Prior Claims: 1 prior claim at age 23 is a significant weighting factor. Statistically, a driver with a recent claim has a higher probability of a second claim within 12–24 months compared to a "clean" history.</w:t>
      </w:r>
    </w:p>
    <w:p w14:paraId="0C45B39E" w14:textId="1EA25375"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Vehicle Type: The BMW M3 is a high-performance vehicle. In actuarial </w:t>
      </w:r>
      <w:r w:rsidRPr="00445ED2">
        <w:rPr>
          <w:rFonts w:ascii="Times New Roman" w:hAnsi="Times New Roman" w:cs="Times New Roman"/>
        </w:rPr>
        <w:t>modelling</w:t>
      </w:r>
      <w:r w:rsidRPr="00445ED2">
        <w:rPr>
          <w:rFonts w:ascii="Times New Roman" w:hAnsi="Times New Roman" w:cs="Times New Roman"/>
        </w:rPr>
        <w:t>, the "power-to-weight" ratio is often a proxy for increased frequency of speed-related incidents.</w:t>
      </w:r>
    </w:p>
    <w:p w14:paraId="690864F3" w14:textId="096A4242"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Postcode (3000): Melbourne CBD. This environment has a very high frequency of "fender-benders," parking incidents, and third-party collisions due to extreme traffic density and complex intersections.</w:t>
      </w:r>
    </w:p>
    <w:p w14:paraId="0215B318" w14:textId="77777777" w:rsidR="00445ED2" w:rsidRPr="00445ED2" w:rsidRDefault="00445ED2" w:rsidP="00445ED2">
      <w:pPr>
        <w:rPr>
          <w:rFonts w:ascii="Times New Roman" w:hAnsi="Times New Roman" w:cs="Times New Roman"/>
        </w:rPr>
      </w:pPr>
    </w:p>
    <w:p w14:paraId="15845A04" w14:textId="18CC185E"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Severity Drivers</w:t>
      </w:r>
    </w:p>
    <w:p w14:paraId="117E0B13" w14:textId="77777777" w:rsidR="00445ED2" w:rsidRPr="00445ED2" w:rsidRDefault="00445ED2" w:rsidP="00445ED2">
      <w:pPr>
        <w:rPr>
          <w:rFonts w:ascii="Times New Roman" w:hAnsi="Times New Roman" w:cs="Times New Roman"/>
        </w:rPr>
      </w:pPr>
    </w:p>
    <w:p w14:paraId="2B7B8430" w14:textId="6D8E3944" w:rsidR="00445ED2" w:rsidRPr="00445ED2" w:rsidRDefault="00445ED2" w:rsidP="00445ED2">
      <w:pPr>
        <w:rPr>
          <w:rFonts w:ascii="Times New Roman" w:hAnsi="Times New Roman" w:cs="Times New Roman"/>
        </w:rPr>
      </w:pPr>
      <w:r w:rsidRPr="00445ED2">
        <w:rPr>
          <w:rFonts w:ascii="Times New Roman" w:hAnsi="Times New Roman" w:cs="Times New Roman"/>
        </w:rPr>
        <w:lastRenderedPageBreak/>
        <w:t xml:space="preserve"> Vehicle Cost/Repairability: The BMW M3 is a luxury performance vehicle. Repair costs (ACPC) are high due to specialized parts, sensors (ADAS), and the requirement for manufacturer-authorized repairers.</w:t>
      </w:r>
    </w:p>
    <w:p w14:paraId="3C8AE653" w14:textId="69B1173B"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Total Loss Risk: The high market value of an M3 means a "write-off" event results in a substantial payout compared to a standard commuter vehicle.</w:t>
      </w:r>
    </w:p>
    <w:p w14:paraId="37B2E388" w14:textId="0D9D5E6E"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Theft/Vandalism: CBD postcodes (3000) often carry a higher loading for theft and malicious damage, increasing the expected severity of non-collision claims.</w:t>
      </w:r>
    </w:p>
    <w:p w14:paraId="64CFA907" w14:textId="77777777" w:rsidR="00445ED2" w:rsidRPr="00445ED2" w:rsidRDefault="00445ED2" w:rsidP="00445ED2">
      <w:pPr>
        <w:rPr>
          <w:rFonts w:ascii="Times New Roman" w:hAnsi="Times New Roman" w:cs="Times New Roman"/>
        </w:rPr>
      </w:pPr>
    </w:p>
    <w:p w14:paraId="0D945C78"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w:t>
      </w:r>
    </w:p>
    <w:p w14:paraId="0FAC22CA" w14:textId="77777777" w:rsidR="00445ED2" w:rsidRPr="00445ED2" w:rsidRDefault="00445ED2" w:rsidP="00445ED2">
      <w:pPr>
        <w:rPr>
          <w:rFonts w:ascii="Times New Roman" w:hAnsi="Times New Roman" w:cs="Times New Roman"/>
        </w:rPr>
      </w:pPr>
    </w:p>
    <w:p w14:paraId="59BF65E4" w14:textId="2BBB5790"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Conceptual Premium Indication</w:t>
      </w:r>
    </w:p>
    <w:p w14:paraId="1EB4B2BF" w14:textId="77777777" w:rsidR="00445ED2" w:rsidRPr="00445ED2" w:rsidRDefault="00445ED2" w:rsidP="00445ED2">
      <w:pPr>
        <w:rPr>
          <w:rFonts w:ascii="Times New Roman" w:hAnsi="Times New Roman" w:cs="Times New Roman"/>
        </w:rPr>
      </w:pPr>
    </w:p>
    <w:p w14:paraId="153A17D7"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The pure premium is derived from the following logic:</w:t>
      </w:r>
    </w:p>
    <w:p w14:paraId="70B14D66" w14:textId="77777777" w:rsidR="00445ED2" w:rsidRPr="00445ED2" w:rsidRDefault="00445ED2" w:rsidP="00445ED2">
      <w:pPr>
        <w:rPr>
          <w:rFonts w:ascii="Times New Roman" w:hAnsi="Times New Roman" w:cs="Times New Roman"/>
        </w:rPr>
      </w:pPr>
    </w:p>
    <w:p w14:paraId="5CF32808" w14:textId="77777777" w:rsidR="00445ED2" w:rsidRPr="00445ED2" w:rsidRDefault="00445ED2" w:rsidP="00445ED2">
      <w:pPr>
        <w:rPr>
          <w:rFonts w:ascii="Times New Roman" w:hAnsi="Times New Roman" w:cs="Times New Roman"/>
        </w:rPr>
      </w:pPr>
    </w:p>
    <w:p w14:paraId="77539CFC" w14:textId="08F718AF"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Premium </w:t>
      </w:r>
      <w:r w:rsidRPr="00445ED2">
        <w:rPr>
          <w:rFonts w:ascii="Times New Roman" w:hAnsi="Times New Roman" w:cs="Times New Roman"/>
        </w:rPr>
        <w:t>approx.</w:t>
      </w:r>
      <w:r w:rsidRPr="00445ED2">
        <w:rPr>
          <w:rFonts w:ascii="Times New Roman" w:hAnsi="Times New Roman" w:cs="Times New Roman"/>
        </w:rPr>
        <w:t xml:space="preserve"> </w:t>
      </w:r>
      <w:r>
        <w:rPr>
          <w:rFonts w:ascii="Times New Roman" w:hAnsi="Times New Roman" w:cs="Times New Roman"/>
        </w:rPr>
        <w:t xml:space="preserve">= </w:t>
      </w:r>
      <w:r w:rsidRPr="00445ED2">
        <w:rPr>
          <w:rFonts w:ascii="Times New Roman" w:hAnsi="Times New Roman" w:cs="Times New Roman"/>
        </w:rPr>
        <w:t xml:space="preserve">(Frequency </w:t>
      </w:r>
      <w:r>
        <w:rPr>
          <w:rFonts w:ascii="Times New Roman" w:hAnsi="Times New Roman" w:cs="Times New Roman"/>
        </w:rPr>
        <w:t>x</w:t>
      </w:r>
      <w:r w:rsidRPr="00445ED2">
        <w:rPr>
          <w:rFonts w:ascii="Times New Roman" w:hAnsi="Times New Roman" w:cs="Times New Roman"/>
        </w:rPr>
        <w:t xml:space="preserve"> Severity) + Expenses + Profit Margin</w:t>
      </w:r>
    </w:p>
    <w:p w14:paraId="5DBA66D5" w14:textId="77777777" w:rsidR="00445ED2" w:rsidRPr="00445ED2" w:rsidRDefault="00445ED2" w:rsidP="00445ED2">
      <w:pPr>
        <w:rPr>
          <w:rFonts w:ascii="Times New Roman" w:hAnsi="Times New Roman" w:cs="Times New Roman"/>
        </w:rPr>
      </w:pPr>
    </w:p>
    <w:p w14:paraId="5307D9D0" w14:textId="7CA0EF05"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Frequency: Expected to be significantly above the portfolio mean (High-density + Young Driver).</w:t>
      </w:r>
    </w:p>
    <w:p w14:paraId="6F3BD1A2" w14:textId="22AB9D17"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Severity: Expected to be very high (Luxury Performance Vehicle).</w:t>
      </w:r>
    </w:p>
    <w:p w14:paraId="64E62238" w14:textId="1F89BC77"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Expenses: Includes Victorian Stamp Duty (10%) and GST (10%), plus higher reinsurance costs for high-value assets.</w:t>
      </w:r>
    </w:p>
    <w:p w14:paraId="6BBBAD9C" w14:textId="77777777" w:rsidR="00445ED2" w:rsidRPr="00445ED2" w:rsidRDefault="00445ED2" w:rsidP="00445ED2">
      <w:pPr>
        <w:rPr>
          <w:rFonts w:ascii="Times New Roman" w:hAnsi="Times New Roman" w:cs="Times New Roman"/>
        </w:rPr>
      </w:pPr>
    </w:p>
    <w:p w14:paraId="1A002FC3" w14:textId="201048A8"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Risk Commentary</w:t>
      </w:r>
    </w:p>
    <w:p w14:paraId="14350982" w14:textId="77777777" w:rsidR="00445ED2" w:rsidRPr="00445ED2" w:rsidRDefault="00445ED2" w:rsidP="00445ED2">
      <w:pPr>
        <w:rPr>
          <w:rFonts w:ascii="Times New Roman" w:hAnsi="Times New Roman" w:cs="Times New Roman"/>
        </w:rPr>
      </w:pPr>
    </w:p>
    <w:p w14:paraId="51BA8682" w14:textId="2E31A95A" w:rsidR="00445ED2" w:rsidRPr="00445ED2" w:rsidRDefault="00445ED2" w:rsidP="00445ED2">
      <w:pPr>
        <w:rPr>
          <w:rFonts w:ascii="Times New Roman" w:hAnsi="Times New Roman" w:cs="Times New Roman"/>
        </w:rPr>
      </w:pPr>
      <w:r w:rsidRPr="00445ED2">
        <w:rPr>
          <w:rFonts w:ascii="Times New Roman" w:hAnsi="Times New Roman" w:cs="Times New Roman"/>
        </w:rPr>
        <w:t>This risk profile presents a "</w:t>
      </w:r>
      <w:r w:rsidRPr="00445ED2">
        <w:rPr>
          <w:rFonts w:ascii="Times New Roman" w:hAnsi="Times New Roman" w:cs="Times New Roman"/>
        </w:rPr>
        <w:t>double peak</w:t>
      </w:r>
      <w:r w:rsidRPr="00445ED2">
        <w:rPr>
          <w:rFonts w:ascii="Times New Roman" w:hAnsi="Times New Roman" w:cs="Times New Roman"/>
        </w:rPr>
        <w:t>" challenge: the driver is statistically more likely to have an accident (Frequency) and that accident is statistically likely to be expensive (Severity). The age/vehicle combination often triggers "underwriting referrals" where manual intervention may be required to set appropriate excesses (e.g., high "Young Driver" and "Inexperienced Driver" excesses).</w:t>
      </w:r>
    </w:p>
    <w:p w14:paraId="7BC71199" w14:textId="77777777" w:rsidR="00445ED2" w:rsidRPr="00445ED2" w:rsidRDefault="00445ED2" w:rsidP="00445ED2">
      <w:pPr>
        <w:rPr>
          <w:rFonts w:ascii="Times New Roman" w:hAnsi="Times New Roman" w:cs="Times New Roman"/>
        </w:rPr>
      </w:pPr>
    </w:p>
    <w:p w14:paraId="1EFB1BC3" w14:textId="1400DDAE"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Ethical &amp; Regulatory Considerations</w:t>
      </w:r>
    </w:p>
    <w:p w14:paraId="2264C103" w14:textId="77777777" w:rsidR="00445ED2" w:rsidRPr="00445ED2" w:rsidRDefault="00445ED2" w:rsidP="00445ED2">
      <w:pPr>
        <w:rPr>
          <w:rFonts w:ascii="Times New Roman" w:hAnsi="Times New Roman" w:cs="Times New Roman"/>
        </w:rPr>
      </w:pPr>
    </w:p>
    <w:p w14:paraId="0E4D5A46" w14:textId="79B4D851"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Age/Gender: While younger drivers (particularly males) historically pay more, Victorian insurers must ensure these loadings are based on rigorous statistical evidence to avoid "ageism." Females in this bracket often see slightly lower frequency rates than males, but the high-performance vehicle may normalize this gap.</w:t>
      </w:r>
    </w:p>
    <w:p w14:paraId="488CDC29" w14:textId="6175D13C"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Postcode Pricing: Rating by postcode 3000 reflects the objective reality of CBD congestion but can be seen as penalizing city dwellers who may </w:t>
      </w:r>
      <w:proofErr w:type="gramStart"/>
      <w:r w:rsidRPr="00445ED2">
        <w:rPr>
          <w:rFonts w:ascii="Times New Roman" w:hAnsi="Times New Roman" w:cs="Times New Roman"/>
        </w:rPr>
        <w:t>actually drive</w:t>
      </w:r>
      <w:proofErr w:type="gramEnd"/>
      <w:r w:rsidRPr="00445ED2">
        <w:rPr>
          <w:rFonts w:ascii="Times New Roman" w:hAnsi="Times New Roman" w:cs="Times New Roman"/>
        </w:rPr>
        <w:t xml:space="preserve"> fewer </w:t>
      </w:r>
      <w:r w:rsidRPr="00445ED2">
        <w:rPr>
          <w:rFonts w:ascii="Times New Roman" w:hAnsi="Times New Roman" w:cs="Times New Roman"/>
        </w:rPr>
        <w:t>kilometres</w:t>
      </w:r>
      <w:r w:rsidRPr="00445ED2">
        <w:rPr>
          <w:rFonts w:ascii="Times New Roman" w:hAnsi="Times New Roman" w:cs="Times New Roman"/>
        </w:rPr>
        <w:t>.</w:t>
      </w:r>
    </w:p>
    <w:p w14:paraId="5EE6FB97" w14:textId="226EDD3A"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Affordability: Regulators (ASIC/APRA) monitor for "price walking" and ensure that high-risk individuals still have access to transparent pricing, even if the premium is elevated.</w:t>
      </w:r>
    </w:p>
    <w:p w14:paraId="5E4EC2DE" w14:textId="77777777" w:rsidR="00445ED2" w:rsidRPr="00445ED2" w:rsidRDefault="00445ED2" w:rsidP="00445ED2">
      <w:pPr>
        <w:rPr>
          <w:rFonts w:ascii="Times New Roman" w:hAnsi="Times New Roman" w:cs="Times New Roman"/>
        </w:rPr>
      </w:pPr>
    </w:p>
    <w:p w14:paraId="0E96B7E3" w14:textId="77777777" w:rsidR="00445ED2" w:rsidRPr="00445ED2" w:rsidRDefault="00445ED2" w:rsidP="00445ED2">
      <w:pPr>
        <w:rPr>
          <w:rFonts w:ascii="Times New Roman" w:hAnsi="Times New Roman" w:cs="Times New Roman"/>
        </w:rPr>
      </w:pPr>
      <w:r w:rsidRPr="00445ED2">
        <w:rPr>
          <w:rFonts w:ascii="Times New Roman" w:hAnsi="Times New Roman" w:cs="Times New Roman"/>
        </w:rPr>
        <w:t>---</w:t>
      </w:r>
    </w:p>
    <w:p w14:paraId="47192EE5" w14:textId="77777777" w:rsidR="00445ED2" w:rsidRPr="00445ED2" w:rsidRDefault="00445ED2" w:rsidP="00445ED2">
      <w:pPr>
        <w:rPr>
          <w:rFonts w:ascii="Times New Roman" w:hAnsi="Times New Roman" w:cs="Times New Roman"/>
        </w:rPr>
      </w:pPr>
    </w:p>
    <w:p w14:paraId="2C28E035" w14:textId="1E7C00D9" w:rsidR="00445ED2" w:rsidRPr="00445ED2" w:rsidRDefault="00445ED2" w:rsidP="00445ED2">
      <w:pPr>
        <w:rPr>
          <w:rFonts w:ascii="Times New Roman" w:hAnsi="Times New Roman" w:cs="Times New Roman"/>
        </w:rPr>
      </w:pPr>
      <w:r w:rsidRPr="00445ED2">
        <w:rPr>
          <w:rFonts w:ascii="Times New Roman" w:hAnsi="Times New Roman" w:cs="Times New Roman"/>
        </w:rPr>
        <w:t xml:space="preserve"> Summary of Premium Indication</w:t>
      </w:r>
    </w:p>
    <w:p w14:paraId="372E2300" w14:textId="77777777" w:rsidR="00445ED2" w:rsidRPr="00445ED2" w:rsidRDefault="00445ED2" w:rsidP="00445ED2">
      <w:pPr>
        <w:rPr>
          <w:rFonts w:ascii="Times New Roman" w:hAnsi="Times New Roman" w:cs="Times New Roman"/>
        </w:rPr>
      </w:pPr>
    </w:p>
    <w:p w14:paraId="031FDF61" w14:textId="77777777" w:rsidR="00445ED2" w:rsidRDefault="00445ED2" w:rsidP="00445ED2">
      <w:pPr>
        <w:rPr>
          <w:rFonts w:ascii="Times New Roman" w:hAnsi="Times New Roman" w:cs="Times New Roman"/>
        </w:rPr>
      </w:pPr>
      <w:r w:rsidRPr="00445ED2">
        <w:rPr>
          <w:rFonts w:ascii="Times New Roman" w:hAnsi="Times New Roman" w:cs="Times New Roman"/>
        </w:rPr>
        <w:t xml:space="preserve">Premium Indication: High </w:t>
      </w:r>
    </w:p>
    <w:p w14:paraId="0001975D" w14:textId="78C939DE" w:rsidR="00445ED2" w:rsidRPr="00445ED2" w:rsidRDefault="00445ED2" w:rsidP="00445ED2">
      <w:pPr>
        <w:rPr>
          <w:rFonts w:ascii="Times New Roman" w:hAnsi="Times New Roman" w:cs="Times New Roman"/>
        </w:rPr>
      </w:pPr>
      <w:r w:rsidRPr="00445ED2">
        <w:rPr>
          <w:rFonts w:ascii="Times New Roman" w:hAnsi="Times New Roman" w:cs="Times New Roman"/>
        </w:rPr>
        <w:t>Note: For educational purposes only</w:t>
      </w:r>
    </w:p>
    <w:p w14:paraId="58186E86" w14:textId="77777777" w:rsidR="00445ED2" w:rsidRPr="00445ED2" w:rsidRDefault="00445ED2" w:rsidP="00445ED2">
      <w:pPr>
        <w:rPr>
          <w:rFonts w:ascii="Times New Roman" w:hAnsi="Times New Roman" w:cs="Times New Roman"/>
        </w:rPr>
      </w:pPr>
    </w:p>
    <w:p w14:paraId="19F49AF8" w14:textId="0A7A9F95" w:rsidR="00445ED2" w:rsidRPr="00445ED2" w:rsidRDefault="00445ED2" w:rsidP="00445ED2">
      <w:pPr>
        <w:rPr>
          <w:rFonts w:ascii="Times New Roman" w:hAnsi="Times New Roman" w:cs="Times New Roman"/>
        </w:rPr>
      </w:pPr>
    </w:p>
    <w:sectPr w:rsidR="00445ED2" w:rsidRPr="00445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5439"/>
    <w:multiLevelType w:val="multilevel"/>
    <w:tmpl w:val="8A7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B62FD"/>
    <w:multiLevelType w:val="hybridMultilevel"/>
    <w:tmpl w:val="9550B35E"/>
    <w:lvl w:ilvl="0" w:tplc="D8BA00CA">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D82934"/>
    <w:multiLevelType w:val="multilevel"/>
    <w:tmpl w:val="F21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041BA"/>
    <w:multiLevelType w:val="multilevel"/>
    <w:tmpl w:val="62A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05A81"/>
    <w:multiLevelType w:val="multilevel"/>
    <w:tmpl w:val="885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4556">
    <w:abstractNumId w:val="1"/>
  </w:num>
  <w:num w:numId="2" w16cid:durableId="1416048823">
    <w:abstractNumId w:val="2"/>
  </w:num>
  <w:num w:numId="3" w16cid:durableId="418210477">
    <w:abstractNumId w:val="0"/>
  </w:num>
  <w:num w:numId="4" w16cid:durableId="1603879159">
    <w:abstractNumId w:val="3"/>
  </w:num>
  <w:num w:numId="5" w16cid:durableId="353653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D2"/>
    <w:rsid w:val="00077FDA"/>
    <w:rsid w:val="000B6FF5"/>
    <w:rsid w:val="00343EDC"/>
    <w:rsid w:val="00445ED2"/>
    <w:rsid w:val="00552B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0EDD"/>
  <w15:chartTrackingRefBased/>
  <w15:docId w15:val="{D17B7075-4A11-5747-95FF-504031A7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ED2"/>
    <w:rPr>
      <w:rFonts w:eastAsiaTheme="majorEastAsia" w:cstheme="majorBidi"/>
      <w:color w:val="272727" w:themeColor="text1" w:themeTint="D8"/>
    </w:rPr>
  </w:style>
  <w:style w:type="paragraph" w:styleId="Title">
    <w:name w:val="Title"/>
    <w:basedOn w:val="Normal"/>
    <w:next w:val="Normal"/>
    <w:link w:val="TitleChar"/>
    <w:uiPriority w:val="10"/>
    <w:qFormat/>
    <w:rsid w:val="00445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ED2"/>
    <w:rPr>
      <w:i/>
      <w:iCs/>
      <w:color w:val="404040" w:themeColor="text1" w:themeTint="BF"/>
    </w:rPr>
  </w:style>
  <w:style w:type="paragraph" w:styleId="ListParagraph">
    <w:name w:val="List Paragraph"/>
    <w:basedOn w:val="Normal"/>
    <w:uiPriority w:val="34"/>
    <w:qFormat/>
    <w:rsid w:val="00445ED2"/>
    <w:pPr>
      <w:ind w:left="720"/>
      <w:contextualSpacing/>
    </w:pPr>
  </w:style>
  <w:style w:type="character" w:styleId="IntenseEmphasis">
    <w:name w:val="Intense Emphasis"/>
    <w:basedOn w:val="DefaultParagraphFont"/>
    <w:uiPriority w:val="21"/>
    <w:qFormat/>
    <w:rsid w:val="00445ED2"/>
    <w:rPr>
      <w:i/>
      <w:iCs/>
      <w:color w:val="0F4761" w:themeColor="accent1" w:themeShade="BF"/>
    </w:rPr>
  </w:style>
  <w:style w:type="paragraph" w:styleId="IntenseQuote">
    <w:name w:val="Intense Quote"/>
    <w:basedOn w:val="Normal"/>
    <w:next w:val="Normal"/>
    <w:link w:val="IntenseQuoteChar"/>
    <w:uiPriority w:val="30"/>
    <w:qFormat/>
    <w:rsid w:val="00445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ED2"/>
    <w:rPr>
      <w:i/>
      <w:iCs/>
      <w:color w:val="0F4761" w:themeColor="accent1" w:themeShade="BF"/>
    </w:rPr>
  </w:style>
  <w:style w:type="character" w:styleId="IntenseReference">
    <w:name w:val="Intense Reference"/>
    <w:basedOn w:val="DefaultParagraphFont"/>
    <w:uiPriority w:val="32"/>
    <w:qFormat/>
    <w:rsid w:val="00445ED2"/>
    <w:rPr>
      <w:b/>
      <w:bCs/>
      <w:smallCaps/>
      <w:color w:val="0F4761" w:themeColor="accent1" w:themeShade="BF"/>
      <w:spacing w:val="5"/>
    </w:rPr>
  </w:style>
  <w:style w:type="paragraph" w:styleId="NormalWeb">
    <w:name w:val="Normal (Web)"/>
    <w:basedOn w:val="Normal"/>
    <w:uiPriority w:val="99"/>
    <w:semiHidden/>
    <w:unhideWhenUsed/>
    <w:rsid w:val="00445ED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45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Zhang</dc:creator>
  <cp:keywords/>
  <dc:description/>
  <cp:lastModifiedBy>Arthur Zhang</cp:lastModifiedBy>
  <cp:revision>1</cp:revision>
  <dcterms:created xsi:type="dcterms:W3CDTF">2026-03-01T22:02:00Z</dcterms:created>
  <dcterms:modified xsi:type="dcterms:W3CDTF">2026-03-01T22:42:00Z</dcterms:modified>
</cp:coreProperties>
</file>