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keepNext/>
        <w:spacing w:before="400" w:after="1240" w:line="259" w:lineRule="auto"/>
        <w:jc w:val="left"/>
      </w:pPr>
      <w:r>
        <w:rPr>
          <w:rFonts w:ascii="Arial" w:hAnsi="Arial" w:eastAsia="Arial"/>
          <w:b/>
          <w:i w:val="0"/>
          <w:color w:val="2F75B5"/>
          <w:sz w:val="20"/>
        </w:rPr>
        <w:t>BENCHMARKING METHOD</w:t>
      </w:r>
    </w:p>
    <w:p>
      <w:pPr>
        <w:keepNext w:val="0"/>
        <w:spacing w:before="0" w:after="200" w:line="230" w:lineRule="auto"/>
        <w:jc w:val="left"/>
      </w:pPr>
      <w:r>
        <w:rPr>
          <w:rFonts w:ascii="Arial" w:hAnsi="Arial" w:eastAsia="Arial"/>
          <w:b/>
          <w:i w:val="0"/>
          <w:color w:val="162F7A"/>
          <w:sz w:val="60"/>
        </w:rPr>
        <w:t>OCI CPU Inference</w:t>
        <w:br/>
        <w:t>Benchmarking Methodology</w:t>
      </w:r>
    </w:p>
    <w:p>
      <w:pPr>
        <w:keepNext w:val="0"/>
        <w:spacing w:before="0" w:after="600" w:line="240" w:lineRule="auto"/>
        <w:jc w:val="left"/>
      </w:pPr>
      <w:r>
        <w:rPr>
          <w:rFonts w:ascii="Arial" w:hAnsi="Arial" w:eastAsia="Arial"/>
          <w:b w:val="0"/>
          <w:i w:val="0"/>
          <w:color w:val="2F75B5"/>
          <w:sz w:val="34"/>
        </w:rPr>
        <w:t>Workload taxonomy, platform controls, and interpretation guide</w:t>
      </w:r>
    </w:p>
    <w:p>
      <w:pPr>
        <w:keepNext w:val="0"/>
        <w:spacing w:before="0" w:after="140" w:line="240" w:lineRule="auto"/>
        <w:pBdr>
          <w:bottom w:val="single" w:sz="10" w:space="1" w:color="2F75B5"/>
        </w:pBdr>
      </w:pPr>
    </w:p>
    <w:p>
      <w:pPr>
        <w:keepNext w:val="0"/>
        <w:spacing w:before="160" w:after="440" w:line="283" w:lineRule="auto"/>
        <w:jc w:val="left"/>
      </w:pPr>
      <w:r>
        <w:rPr>
          <w:rFonts w:ascii="Arial" w:hAnsi="Arial" w:eastAsia="Arial"/>
          <w:b w:val="0"/>
          <w:i w:val="0"/>
          <w:color w:val="1F2933"/>
          <w:sz w:val="22"/>
        </w:rPr>
        <w:t>This guide defines how we compare CPU inference on OCI without confusing a workload, cache state, or shared-host condition with a hardware conclusion. It documents the method; the result report is maintained separately.</w:t>
      </w:r>
    </w:p>
    <w:tbl>
      <w:tblPr>
        <w:tblW w:type="auto" w:w="0"/>
        <w:tblLayout w:type="fixed"/>
        <w:tblLook w:firstColumn="1" w:firstRow="1" w:lastColumn="0" w:lastRow="0" w:noHBand="0" w:noVBand="1" w:val="04A0"/>
      </w:tblPr>
      <w:tblGrid>
        <w:gridCol w:w="5112"/>
        <w:gridCol w:w="5112"/>
      </w:tblGrid>
      <w:tr>
        <w:tc>
          <w:tcPr>
            <w:tcW w:type="dxa" w:w="2160"/>
            <w:shd w:fill="D9EAF7"/>
            <w:tcBorders>
              <w:top w:val="single" w:sz="6" w:space="0" w:color="A6BFD9"/>
              <w:left w:val="single" w:sz="6" w:space="0" w:color="A6BFD9"/>
              <w:bottom w:val="single" w:sz="6" w:space="0" w:color="A6BFD9"/>
              <w:right w:val="single" w:sz="6" w:space="0" w:color="A6BFD9"/>
            </w:tcBorders>
            <w:tcMar>
              <w:top w:w="110" w:type="dxa"/>
              <w:start w:w="120" w:type="dxa"/>
              <w:bottom w:w="110" w:type="dxa"/>
              <w:end w:w="120" w:type="dxa"/>
            </w:tcMar>
          </w:tcPr>
          <w:p>
            <w:pPr>
              <w:keepNext w:val="0"/>
              <w:spacing w:before="0" w:after="0" w:line="240" w:lineRule="auto"/>
            </w:pPr>
            <w:r>
              <w:rPr>
                <w:rFonts w:ascii="Arial" w:hAnsi="Arial" w:eastAsia="Arial"/>
                <w:b/>
                <w:i w:val="0"/>
                <w:color w:val="162F7A"/>
                <w:sz w:val="19"/>
              </w:rPr>
              <w:t>Purpose</w:t>
            </w:r>
          </w:p>
        </w:tc>
        <w:tc>
          <w:tcPr>
            <w:tcW w:type="dxa" w:w="7992"/>
            <w:shd w:fill="FFFFFF"/>
            <w:tcBorders>
              <w:top w:val="single" w:sz="6" w:space="0" w:color="A6BFD9"/>
              <w:left w:val="single" w:sz="6" w:space="0" w:color="A6BFD9"/>
              <w:bottom w:val="single" w:sz="6" w:space="0" w:color="A6BFD9"/>
              <w:right w:val="single" w:sz="6" w:space="0" w:color="A6BFD9"/>
            </w:tcBorders>
            <w:tcMar>
              <w:top w:w="110" w:type="dxa"/>
              <w:start w:w="120" w:type="dxa"/>
              <w:bottom w:w="110" w:type="dxa"/>
              <w:end w:w="120" w:type="dxa"/>
            </w:tcMar>
          </w:tcPr>
          <w:p>
            <w:pPr>
              <w:keepNext w:val="0"/>
              <w:spacing w:before="0" w:after="0" w:line="240" w:lineRule="auto"/>
            </w:pPr>
            <w:r>
              <w:rPr>
                <w:rFonts w:ascii="Arial" w:hAnsi="Arial" w:eastAsia="Arial"/>
                <w:b w:val="0"/>
                <w:i w:val="0"/>
                <w:color w:val="1F2933"/>
                <w:sz w:val="19"/>
              </w:rPr>
              <w:t>Make benchmark decisions repeatable and explainable</w:t>
            </w:r>
          </w:p>
        </w:tc>
      </w:tr>
      <w:tr>
        <w:tc>
          <w:tcPr>
            <w:tcW w:type="dxa" w:w="2160"/>
            <w:shd w:fill="D9EAF7"/>
            <w:tcBorders>
              <w:top w:val="single" w:sz="6" w:space="0" w:color="A6BFD9"/>
              <w:left w:val="single" w:sz="6" w:space="0" w:color="A6BFD9"/>
              <w:bottom w:val="single" w:sz="6" w:space="0" w:color="A6BFD9"/>
              <w:right w:val="single" w:sz="6" w:space="0" w:color="A6BFD9"/>
            </w:tcBorders>
            <w:tcMar>
              <w:top w:w="110" w:type="dxa"/>
              <w:start w:w="120" w:type="dxa"/>
              <w:bottom w:w="110" w:type="dxa"/>
              <w:end w:w="120" w:type="dxa"/>
            </w:tcMar>
          </w:tcPr>
          <w:p>
            <w:pPr>
              <w:keepNext w:val="0"/>
              <w:spacing w:before="0" w:after="0" w:line="240" w:lineRule="auto"/>
            </w:pPr>
            <w:r>
              <w:rPr>
                <w:rFonts w:ascii="Arial" w:hAnsi="Arial" w:eastAsia="Arial"/>
                <w:b/>
                <w:i w:val="0"/>
                <w:color w:val="162F7A"/>
                <w:sz w:val="19"/>
              </w:rPr>
              <w:t>Scope</w:t>
            </w:r>
          </w:p>
        </w:tc>
        <w:tc>
          <w:tcPr>
            <w:tcW w:type="dxa" w:w="7992"/>
            <w:shd w:fill="FFFFFF"/>
            <w:tcBorders>
              <w:top w:val="single" w:sz="6" w:space="0" w:color="A6BFD9"/>
              <w:left w:val="single" w:sz="6" w:space="0" w:color="A6BFD9"/>
              <w:bottom w:val="single" w:sz="6" w:space="0" w:color="A6BFD9"/>
              <w:right w:val="single" w:sz="6" w:space="0" w:color="A6BFD9"/>
            </w:tcBorders>
            <w:tcMar>
              <w:top w:w="110" w:type="dxa"/>
              <w:start w:w="120" w:type="dxa"/>
              <w:bottom w:w="110" w:type="dxa"/>
              <w:end w:w="120" w:type="dxa"/>
            </w:tcMar>
          </w:tcPr>
          <w:p>
            <w:pPr>
              <w:keepNext w:val="0"/>
              <w:spacing w:before="0" w:after="0" w:line="240" w:lineRule="auto"/>
            </w:pPr>
            <w:r>
              <w:rPr>
                <w:rFonts w:ascii="Arial" w:hAnsi="Arial" w:eastAsia="Arial"/>
                <w:b w:val="0"/>
                <w:i w:val="0"/>
                <w:color w:val="1F2933"/>
                <w:sz w:val="19"/>
              </w:rPr>
              <w:t>OCI E6 Flex, E6 Ax Flex, bare metal, llama.cpp, CPU vLLM, and LLM-D</w:t>
            </w:r>
          </w:p>
        </w:tc>
      </w:tr>
      <w:tr>
        <w:tc>
          <w:tcPr>
            <w:tcW w:type="dxa" w:w="2160"/>
            <w:shd w:fill="D9EAF7"/>
            <w:tcBorders>
              <w:top w:val="single" w:sz="6" w:space="0" w:color="A6BFD9"/>
              <w:left w:val="single" w:sz="6" w:space="0" w:color="A6BFD9"/>
              <w:bottom w:val="single" w:sz="6" w:space="0" w:color="A6BFD9"/>
              <w:right w:val="single" w:sz="6" w:space="0" w:color="A6BFD9"/>
            </w:tcBorders>
            <w:tcMar>
              <w:top w:w="110" w:type="dxa"/>
              <w:start w:w="120" w:type="dxa"/>
              <w:bottom w:w="110" w:type="dxa"/>
              <w:end w:w="120" w:type="dxa"/>
            </w:tcMar>
          </w:tcPr>
          <w:p>
            <w:pPr>
              <w:keepNext w:val="0"/>
              <w:spacing w:before="0" w:after="0" w:line="240" w:lineRule="auto"/>
            </w:pPr>
            <w:r>
              <w:rPr>
                <w:rFonts w:ascii="Arial" w:hAnsi="Arial" w:eastAsia="Arial"/>
                <w:b/>
                <w:i w:val="0"/>
                <w:color w:val="162F7A"/>
                <w:sz w:val="19"/>
              </w:rPr>
              <w:t>Audience</w:t>
            </w:r>
          </w:p>
        </w:tc>
        <w:tc>
          <w:tcPr>
            <w:tcW w:type="dxa" w:w="7992"/>
            <w:shd w:fill="FFFFFF"/>
            <w:tcBorders>
              <w:top w:val="single" w:sz="6" w:space="0" w:color="A6BFD9"/>
              <w:left w:val="single" w:sz="6" w:space="0" w:color="A6BFD9"/>
              <w:bottom w:val="single" w:sz="6" w:space="0" w:color="A6BFD9"/>
              <w:right w:val="single" w:sz="6" w:space="0" w:color="A6BFD9"/>
            </w:tcBorders>
            <w:tcMar>
              <w:top w:w="110" w:type="dxa"/>
              <w:start w:w="120" w:type="dxa"/>
              <w:bottom w:w="110" w:type="dxa"/>
              <w:end w:w="120" w:type="dxa"/>
            </w:tcMar>
          </w:tcPr>
          <w:p>
            <w:pPr>
              <w:keepNext w:val="0"/>
              <w:spacing w:before="0" w:after="0" w:line="240" w:lineRule="auto"/>
            </w:pPr>
            <w:r>
              <w:rPr>
                <w:rFonts w:ascii="Arial" w:hAnsi="Arial" w:eastAsia="Arial"/>
                <w:b w:val="0"/>
                <w:i w:val="0"/>
                <w:color w:val="1F2933"/>
                <w:sz w:val="19"/>
              </w:rPr>
              <w:t>Engineering, performance, product, and architecture teams</w:t>
            </w:r>
          </w:p>
        </w:tc>
      </w:tr>
      <w:tr>
        <w:tc>
          <w:tcPr>
            <w:tcW w:type="dxa" w:w="2160"/>
            <w:shd w:fill="D9EAF7"/>
            <w:tcBorders>
              <w:top w:val="single" w:sz="6" w:space="0" w:color="A6BFD9"/>
              <w:left w:val="single" w:sz="6" w:space="0" w:color="A6BFD9"/>
              <w:bottom w:val="single" w:sz="6" w:space="0" w:color="A6BFD9"/>
              <w:right w:val="single" w:sz="6" w:space="0" w:color="A6BFD9"/>
            </w:tcBorders>
            <w:tcMar>
              <w:top w:w="110" w:type="dxa"/>
              <w:start w:w="120" w:type="dxa"/>
              <w:bottom w:w="110" w:type="dxa"/>
              <w:end w:w="120" w:type="dxa"/>
            </w:tcMar>
          </w:tcPr>
          <w:p>
            <w:pPr>
              <w:keepNext w:val="0"/>
              <w:spacing w:before="0" w:after="0" w:line="240" w:lineRule="auto"/>
            </w:pPr>
            <w:r>
              <w:rPr>
                <w:rFonts w:ascii="Arial" w:hAnsi="Arial" w:eastAsia="Arial"/>
                <w:b/>
                <w:i w:val="0"/>
                <w:color w:val="162F7A"/>
                <w:sz w:val="19"/>
              </w:rPr>
              <w:t>Status</w:t>
            </w:r>
          </w:p>
        </w:tc>
        <w:tc>
          <w:tcPr>
            <w:tcW w:type="dxa" w:w="7992"/>
            <w:shd w:fill="FFFFFF"/>
            <w:tcBorders>
              <w:top w:val="single" w:sz="6" w:space="0" w:color="A6BFD9"/>
              <w:left w:val="single" w:sz="6" w:space="0" w:color="A6BFD9"/>
              <w:bottom w:val="single" w:sz="6" w:space="0" w:color="A6BFD9"/>
              <w:right w:val="single" w:sz="6" w:space="0" w:color="A6BFD9"/>
            </w:tcBorders>
            <w:tcMar>
              <w:top w:w="110" w:type="dxa"/>
              <w:start w:w="120" w:type="dxa"/>
              <w:bottom w:w="110" w:type="dxa"/>
              <w:end w:w="120" w:type="dxa"/>
            </w:tcMar>
          </w:tcPr>
          <w:p>
            <w:pPr>
              <w:keepNext w:val="0"/>
              <w:spacing w:before="0" w:after="0" w:line="240" w:lineRule="auto"/>
            </w:pPr>
            <w:r>
              <w:rPr>
                <w:rFonts w:ascii="Arial" w:hAnsi="Arial" w:eastAsia="Arial"/>
                <w:b w:val="0"/>
                <w:i w:val="0"/>
                <w:color w:val="1F2933"/>
                <w:sz w:val="19"/>
              </w:rPr>
              <w:t>Living methodology guide</w:t>
            </w:r>
          </w:p>
        </w:tc>
      </w:tr>
      <w:tr>
        <w:tc>
          <w:tcPr>
            <w:tcW w:type="dxa" w:w="2160"/>
            <w:shd w:fill="D9EAF7"/>
            <w:tcBorders>
              <w:top w:val="single" w:sz="6" w:space="0" w:color="A6BFD9"/>
              <w:left w:val="single" w:sz="6" w:space="0" w:color="A6BFD9"/>
              <w:bottom w:val="single" w:sz="6" w:space="0" w:color="A6BFD9"/>
              <w:right w:val="single" w:sz="6" w:space="0" w:color="A6BFD9"/>
            </w:tcBorders>
            <w:tcMar>
              <w:top w:w="110" w:type="dxa"/>
              <w:start w:w="120" w:type="dxa"/>
              <w:bottom w:w="110" w:type="dxa"/>
              <w:end w:w="120" w:type="dxa"/>
            </w:tcMar>
          </w:tcPr>
          <w:p>
            <w:pPr>
              <w:keepNext w:val="0"/>
              <w:spacing w:before="0" w:after="0" w:line="240" w:lineRule="auto"/>
            </w:pPr>
            <w:r>
              <w:rPr>
                <w:rFonts w:ascii="Arial" w:hAnsi="Arial" w:eastAsia="Arial"/>
                <w:b/>
                <w:i w:val="0"/>
                <w:color w:val="162F7A"/>
                <w:sz w:val="19"/>
              </w:rPr>
              <w:t>Date</w:t>
            </w:r>
          </w:p>
        </w:tc>
        <w:tc>
          <w:tcPr>
            <w:tcW w:type="dxa" w:w="7992"/>
            <w:shd w:fill="FFFFFF"/>
            <w:tcBorders>
              <w:top w:val="single" w:sz="6" w:space="0" w:color="A6BFD9"/>
              <w:left w:val="single" w:sz="6" w:space="0" w:color="A6BFD9"/>
              <w:bottom w:val="single" w:sz="6" w:space="0" w:color="A6BFD9"/>
              <w:right w:val="single" w:sz="6" w:space="0" w:color="A6BFD9"/>
            </w:tcBorders>
            <w:tcMar>
              <w:top w:w="110" w:type="dxa"/>
              <w:start w:w="120" w:type="dxa"/>
              <w:bottom w:w="110" w:type="dxa"/>
              <w:end w:w="120" w:type="dxa"/>
            </w:tcMar>
          </w:tcPr>
          <w:p>
            <w:pPr>
              <w:keepNext w:val="0"/>
              <w:spacing w:before="0" w:after="0" w:line="240" w:lineRule="auto"/>
            </w:pPr>
            <w:r>
              <w:rPr>
                <w:rFonts w:ascii="Arial" w:hAnsi="Arial" w:eastAsia="Arial"/>
                <w:b w:val="0"/>
                <w:i w:val="0"/>
                <w:color w:val="1F2933"/>
                <w:sz w:val="19"/>
              </w:rPr>
              <w:t>16 September 2026</w:t>
            </w:r>
          </w:p>
        </w:tc>
      </w:tr>
    </w:tbl>
    <w:p>
      <w:pPr>
        <w:keepNext w:val="0"/>
        <w:spacing w:before="280" w:after="0" w:line="254" w:lineRule="auto"/>
        <w:jc w:val="left"/>
      </w:pPr>
      <w:r>
        <w:rPr>
          <w:rFonts w:ascii="Arial" w:hAnsi="Arial" w:eastAsia="Arial"/>
          <w:b w:val="0"/>
          <w:i/>
          <w:color w:val="1F2933"/>
          <w:sz w:val="18"/>
        </w:rPr>
        <w:t>Use this document with the matching worksheet and raw output files. It does not publish instance IPs, credentials, cluster details, or private experiment artifacts.</w:t>
      </w:r>
    </w:p>
    <w:p>
      <w:r>
        <w:br w:type="page"/>
      </w:r>
    </w:p>
    <w:p>
      <w:pPr>
        <w:keepNext/>
        <w:spacing w:before="0" w:after="60" w:line="259" w:lineRule="auto"/>
        <w:jc w:val="left"/>
      </w:pPr>
      <w:r>
        <w:rPr>
          <w:rFonts w:ascii="Arial" w:hAnsi="Arial" w:eastAsia="Arial"/>
          <w:b/>
          <w:i w:val="0"/>
          <w:color w:val="2F75B5"/>
          <w:sz w:val="18"/>
        </w:rPr>
        <w:t>01  STRATEGY</w:t>
      </w:r>
    </w:p>
    <w:p>
      <w:pPr>
        <w:keepNext/>
        <w:spacing w:before="0" w:after="160" w:line="240" w:lineRule="auto"/>
        <w:jc w:val="left"/>
      </w:pPr>
      <w:r>
        <w:rPr>
          <w:rFonts w:ascii="Arial" w:hAnsi="Arial" w:eastAsia="Arial"/>
          <w:b/>
          <w:i w:val="0"/>
          <w:color w:val="162F7A"/>
          <w:sz w:val="36"/>
        </w:rPr>
        <w:t>What the program is designed to answer</w:t>
      </w:r>
    </w:p>
    <w:p>
      <w:pPr>
        <w:keepNext w:val="0"/>
        <w:spacing w:before="0" w:after="160" w:line="264" w:lineRule="auto"/>
        <w:jc w:val="left"/>
      </w:pPr>
      <w:r>
        <w:rPr>
          <w:rFonts w:ascii="Arial" w:hAnsi="Arial" w:eastAsia="Arial"/>
          <w:b w:val="0"/>
          <w:i w:val="0"/>
          <w:color w:val="1F2933"/>
          <w:sz w:val="20"/>
        </w:rPr>
        <w:t>There is no single CPU-inference score. The program starts with a real workload, fixes the variables that should not move, measures the relevant phase, and repeats the matched run on both shapes.</w:t>
      </w:r>
    </w:p>
    <w:p>
      <w:pPr>
        <w:keepNext w:val="0"/>
        <w:spacing w:before="0" w:after="140" w:line="240" w:lineRule="auto"/>
        <w:pBdr>
          <w:bottom w:val="single" w:sz="10" w:space="1" w:color="2F75B5"/>
        </w:pBdr>
      </w:pPr>
    </w:p>
    <w:p>
      <w:pPr>
        <w:keepNext/>
        <w:spacing w:before="160" w:after="80" w:line="240" w:lineRule="auto"/>
        <w:jc w:val="left"/>
      </w:pPr>
      <w:r>
        <w:rPr>
          <w:rFonts w:ascii="Arial" w:hAnsi="Arial" w:eastAsia="Arial"/>
          <w:b/>
          <w:i w:val="0"/>
          <w:color w:val="162F7A"/>
          <w:sz w:val="23"/>
        </w:rPr>
        <w:t>The decision path</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944"/>
            <w:shd w:fill="162F7A"/>
            <w:tcBorders>
              <w:top w:val="single" w:sz="6" w:space="0" w:color="162F7A"/>
              <w:left w:val="single" w:sz="6" w:space="0" w:color="162F7A"/>
              <w:bottom w:val="single" w:sz="6" w:space="0" w:color="162F7A"/>
              <w:right w:val="single" w:sz="6" w:space="0" w:color="162F7A"/>
            </w:tcBorders>
            <w:tcMar>
              <w:top w:w="85" w:type="dxa"/>
              <w:start w:w="95" w:type="dxa"/>
              <w:bottom w:w="85" w:type="dxa"/>
              <w:end w:w="95" w:type="dxa"/>
            </w:tcMar>
            <w:vAlign w:val="center"/>
          </w:tcPr>
          <w:p>
            <w:pPr>
              <w:keepNext w:val="0"/>
              <w:spacing w:before="0" w:after="0" w:line="240" w:lineRule="auto"/>
              <w:jc w:val="left"/>
            </w:pPr>
            <w:r>
              <w:rPr>
                <w:rFonts w:ascii="Arial" w:hAnsi="Arial" w:eastAsia="Arial"/>
                <w:b/>
                <w:i w:val="0"/>
                <w:color w:val="FFFFFF"/>
                <w:sz w:val="16"/>
              </w:rPr>
              <w:t>Start with</w:t>
            </w:r>
          </w:p>
        </w:tc>
        <w:tc>
          <w:tcPr>
            <w:tcW w:type="dxa" w:w="2951"/>
            <w:shd w:fill="162F7A"/>
            <w:tcBorders>
              <w:top w:val="single" w:sz="6" w:space="0" w:color="162F7A"/>
              <w:left w:val="single" w:sz="6" w:space="0" w:color="162F7A"/>
              <w:bottom w:val="single" w:sz="6" w:space="0" w:color="162F7A"/>
              <w:right w:val="single" w:sz="6" w:space="0" w:color="162F7A"/>
            </w:tcBorders>
            <w:tcMar>
              <w:top w:w="85" w:type="dxa"/>
              <w:start w:w="95" w:type="dxa"/>
              <w:bottom w:w="85" w:type="dxa"/>
              <w:end w:w="95" w:type="dxa"/>
            </w:tcMar>
            <w:vAlign w:val="center"/>
          </w:tcPr>
          <w:p>
            <w:pPr>
              <w:keepNext w:val="0"/>
              <w:spacing w:before="0" w:after="0" w:line="240" w:lineRule="auto"/>
              <w:jc w:val="left"/>
            </w:pPr>
            <w:r>
              <w:rPr>
                <w:rFonts w:ascii="Arial" w:hAnsi="Arial" w:eastAsia="Arial"/>
                <w:b/>
                <w:i w:val="0"/>
                <w:color w:val="FFFFFF"/>
                <w:sz w:val="16"/>
              </w:rPr>
              <w:t>Isolate</w:t>
            </w:r>
          </w:p>
        </w:tc>
        <w:tc>
          <w:tcPr>
            <w:tcW w:type="dxa" w:w="2520"/>
            <w:shd w:fill="162F7A"/>
            <w:tcBorders>
              <w:top w:val="single" w:sz="6" w:space="0" w:color="162F7A"/>
              <w:left w:val="single" w:sz="6" w:space="0" w:color="162F7A"/>
              <w:bottom w:val="single" w:sz="6" w:space="0" w:color="162F7A"/>
              <w:right w:val="single" w:sz="6" w:space="0" w:color="162F7A"/>
            </w:tcBorders>
            <w:tcMar>
              <w:top w:w="85" w:type="dxa"/>
              <w:start w:w="95" w:type="dxa"/>
              <w:bottom w:w="85" w:type="dxa"/>
              <w:end w:w="95" w:type="dxa"/>
            </w:tcMar>
            <w:vAlign w:val="center"/>
          </w:tcPr>
          <w:p>
            <w:pPr>
              <w:keepNext w:val="0"/>
              <w:spacing w:before="0" w:after="0" w:line="240" w:lineRule="auto"/>
              <w:jc w:val="left"/>
            </w:pPr>
            <w:r>
              <w:rPr>
                <w:rFonts w:ascii="Arial" w:hAnsi="Arial" w:eastAsia="Arial"/>
                <w:b/>
                <w:i w:val="0"/>
                <w:color w:val="FFFFFF"/>
                <w:sz w:val="16"/>
              </w:rPr>
              <w:t>Measure</w:t>
            </w:r>
          </w:p>
        </w:tc>
        <w:tc>
          <w:tcPr>
            <w:tcW w:type="dxa" w:w="2736"/>
            <w:shd w:fill="162F7A"/>
            <w:tcBorders>
              <w:top w:val="single" w:sz="6" w:space="0" w:color="162F7A"/>
              <w:left w:val="single" w:sz="6" w:space="0" w:color="162F7A"/>
              <w:bottom w:val="single" w:sz="6" w:space="0" w:color="162F7A"/>
              <w:right w:val="single" w:sz="6" w:space="0" w:color="162F7A"/>
            </w:tcBorders>
            <w:tcMar>
              <w:top w:w="85" w:type="dxa"/>
              <w:start w:w="95" w:type="dxa"/>
              <w:bottom w:w="85" w:type="dxa"/>
              <w:end w:w="95" w:type="dxa"/>
            </w:tcMar>
            <w:vAlign w:val="center"/>
          </w:tcPr>
          <w:p>
            <w:pPr>
              <w:keepNext w:val="0"/>
              <w:spacing w:before="0" w:after="0" w:line="240" w:lineRule="auto"/>
              <w:jc w:val="left"/>
            </w:pPr>
            <w:r>
              <w:rPr>
                <w:rFonts w:ascii="Arial" w:hAnsi="Arial" w:eastAsia="Arial"/>
                <w:b/>
                <w:i w:val="0"/>
                <w:color w:val="FFFFFF"/>
                <w:sz w:val="16"/>
              </w:rPr>
              <w:t>Use the result to decide</w:t>
            </w:r>
          </w:p>
        </w:tc>
      </w:tr>
      <w:tr>
        <w:trPr>
          <w:cantSplit/>
        </w:trPr>
        <w:tc>
          <w:tcPr>
            <w:tcW w:type="dxa" w:w="1944"/>
            <w:shd w:fill="FFFFFF"/>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6"/>
              </w:rPr>
              <w:t>User workload</w:t>
            </w:r>
          </w:p>
        </w:tc>
        <w:tc>
          <w:tcPr>
            <w:tcW w:type="dxa" w:w="2951"/>
            <w:shd w:fill="FFFFFF"/>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6"/>
              </w:rPr>
              <w:t>Prefill, decode, cache, or queue pressure</w:t>
            </w:r>
          </w:p>
        </w:tc>
        <w:tc>
          <w:tcPr>
            <w:tcW w:type="dxa" w:w="2520"/>
            <w:shd w:fill="FFFFFF"/>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6"/>
              </w:rPr>
              <w:t>The metric tied to that phase</w:t>
            </w:r>
          </w:p>
        </w:tc>
        <w:tc>
          <w:tcPr>
            <w:tcW w:type="dxa" w:w="2736"/>
            <w:shd w:fill="FFFFFF"/>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6"/>
              </w:rPr>
              <w:t>Which shape, engine, or configuration best fits the workload</w:t>
            </w:r>
          </w:p>
        </w:tc>
      </w:tr>
      <w:tr>
        <w:trPr>
          <w:cantSplit/>
        </w:trPr>
        <w:tc>
          <w:tcPr>
            <w:tcW w:type="dxa" w:w="1944"/>
            <w:shd w:fill="F2F4F7"/>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6"/>
              </w:rPr>
              <w:t>Matched deployment</w:t>
            </w:r>
          </w:p>
        </w:tc>
        <w:tc>
          <w:tcPr>
            <w:tcW w:type="dxa" w:w="2951"/>
            <w:shd w:fill="F2F4F7"/>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6"/>
              </w:rPr>
              <w:t>Model, quantization, engine build, OCPUs, memory, context, and threads</w:t>
            </w:r>
          </w:p>
        </w:tc>
        <w:tc>
          <w:tcPr>
            <w:tcW w:type="dxa" w:w="2520"/>
            <w:shd w:fill="F2F4F7"/>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6"/>
              </w:rPr>
              <w:t>A paired result—not a standalone number</w:t>
            </w:r>
          </w:p>
        </w:tc>
        <w:tc>
          <w:tcPr>
            <w:tcW w:type="dxa" w:w="2736"/>
            <w:shd w:fill="F2F4F7"/>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6"/>
              </w:rPr>
              <w:t>Whether the observed delta can be attributed to the variable under test</w:t>
            </w:r>
          </w:p>
        </w:tc>
      </w:tr>
      <w:tr>
        <w:trPr>
          <w:cantSplit/>
        </w:trPr>
        <w:tc>
          <w:tcPr>
            <w:tcW w:type="dxa" w:w="1944"/>
            <w:shd w:fill="FFFFFF"/>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6"/>
              </w:rPr>
              <w:t>Repeatable evidence</w:t>
            </w:r>
          </w:p>
        </w:tc>
        <w:tc>
          <w:tcPr>
            <w:tcW w:type="dxa" w:w="2951"/>
            <w:shd w:fill="FFFFFF"/>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6"/>
              </w:rPr>
              <w:t>Cold versus warm cache and shared VM versus bare metal conditions</w:t>
            </w:r>
          </w:p>
        </w:tc>
        <w:tc>
          <w:tcPr>
            <w:tcW w:type="dxa" w:w="2520"/>
            <w:shd w:fill="FFFFFF"/>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6"/>
              </w:rPr>
              <w:t>Median / p95 over complete successful runs</w:t>
            </w:r>
          </w:p>
        </w:tc>
        <w:tc>
          <w:tcPr>
            <w:tcW w:type="dxa" w:w="2736"/>
            <w:shd w:fill="FFFFFF"/>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6"/>
              </w:rPr>
              <w:t>Whether a result is directional, repeatable, or ready to operationalize</w:t>
            </w:r>
          </w:p>
        </w:tc>
      </w:tr>
    </w:tbl>
    <w:p>
      <w:pPr>
        <w:spacing w:after="0"/>
      </w:pPr>
    </w:p>
    <w:p>
      <w:pPr>
        <w:keepNext/>
        <w:spacing w:before="160" w:after="80" w:line="240" w:lineRule="auto"/>
        <w:jc w:val="left"/>
      </w:pPr>
      <w:r>
        <w:rPr>
          <w:rFonts w:ascii="Arial" w:hAnsi="Arial" w:eastAsia="Arial"/>
          <w:b/>
          <w:i w:val="0"/>
          <w:color w:val="162F7A"/>
          <w:sz w:val="23"/>
        </w:rPr>
        <w:t>Four principles</w:t>
      </w:r>
    </w:p>
    <w:p>
      <w:pPr>
        <w:keepNext w:val="0"/>
        <w:spacing w:before="0" w:after="60" w:line="250" w:lineRule="auto"/>
        <w:ind w:left="259" w:hanging="202"/>
      </w:pPr>
      <w:r>
        <w:rPr>
          <w:rFonts w:ascii="Arial" w:hAnsi="Arial" w:eastAsia="Arial"/>
          <w:b/>
          <w:i w:val="0"/>
          <w:color w:val="162F7A"/>
          <w:sz w:val="19"/>
        </w:rPr>
        <w:t>• Begin with the workload.</w:t>
      </w:r>
      <w:r>
        <w:rPr>
          <w:rFonts w:ascii="Arial" w:hAnsi="Arial" w:eastAsia="Arial"/>
          <w:b w:val="0"/>
          <w:i w:val="0"/>
          <w:color w:val="1F2933"/>
          <w:sz w:val="19"/>
        </w:rPr>
        <w:t>A long document question and a long creative-writing response stress different parts of an inference server, even with the same model.</w:t>
      </w:r>
    </w:p>
    <w:p>
      <w:pPr>
        <w:keepNext w:val="0"/>
        <w:spacing w:before="0" w:after="60" w:line="250" w:lineRule="auto"/>
        <w:ind w:left="259" w:hanging="202"/>
      </w:pPr>
      <w:r>
        <w:rPr>
          <w:rFonts w:ascii="Arial" w:hAnsi="Arial" w:eastAsia="Arial"/>
          <w:b/>
          <w:i w:val="0"/>
          <w:color w:val="162F7A"/>
          <w:sz w:val="19"/>
        </w:rPr>
        <w:t>• Keep the comparison matched.</w:t>
      </w:r>
      <w:r>
        <w:rPr>
          <w:rFonts w:ascii="Arial" w:hAnsi="Arial" w:eastAsia="Arial"/>
          <w:b w:val="0"/>
          <w:i w:val="0"/>
          <w:color w:val="1F2933"/>
          <w:sz w:val="19"/>
        </w:rPr>
        <w:t>Only the intended variable changes: for a shape comparison, both sides use the same model file, engine, OCPU/memory allocation, server flags, prompt set, and client schedule.</w:t>
      </w:r>
    </w:p>
    <w:p>
      <w:pPr>
        <w:keepNext w:val="0"/>
        <w:spacing w:before="0" w:after="60" w:line="250" w:lineRule="auto"/>
        <w:ind w:left="259" w:hanging="202"/>
      </w:pPr>
      <w:r>
        <w:rPr>
          <w:rFonts w:ascii="Arial" w:hAnsi="Arial" w:eastAsia="Arial"/>
          <w:b/>
          <w:i w:val="0"/>
          <w:color w:val="162F7A"/>
          <w:sz w:val="19"/>
        </w:rPr>
        <w:t>• Measure phases separately before trusting an end-to-end score.</w:t>
      </w:r>
      <w:r>
        <w:rPr>
          <w:rFonts w:ascii="Arial" w:hAnsi="Arial" w:eastAsia="Arial"/>
          <w:b w:val="0"/>
          <w:i w:val="0"/>
          <w:color w:val="1F2933"/>
          <w:sz w:val="19"/>
        </w:rPr>
        <w:t>TTFT is primarily a response-start / prefill signal; inter-token latency and TPOT describe generation; queue time exposes capacity pressure.</w:t>
      </w:r>
    </w:p>
    <w:p>
      <w:pPr>
        <w:keepNext w:val="0"/>
        <w:spacing w:before="0" w:after="60" w:line="250" w:lineRule="auto"/>
        <w:ind w:left="259" w:hanging="202"/>
      </w:pPr>
      <w:r>
        <w:rPr>
          <w:rFonts w:ascii="Arial" w:hAnsi="Arial" w:eastAsia="Arial"/>
          <w:b/>
          <w:i w:val="0"/>
          <w:color w:val="162F7A"/>
          <w:sz w:val="19"/>
        </w:rPr>
        <w:t>• Treat cache state as an explicit experiment variable.</w:t>
      </w:r>
      <w:r>
        <w:rPr>
          <w:rFonts w:ascii="Arial" w:hAnsi="Arial" w:eastAsia="Arial"/>
          <w:b w:val="0"/>
          <w:i w:val="0"/>
          <w:color w:val="1F2933"/>
          <w:sz w:val="19"/>
        </w:rPr>
        <w:t>A warm, shared-prefix result is meaningful for repeated-context applications, but it is not a cold-hardware comparison.</w:t>
      </w:r>
    </w:p>
    <w:tbl>
      <w:tblPr>
        <w:tblW w:type="auto" w:w="0"/>
        <w:tblLayout w:type="fixed"/>
        <w:tblLook w:firstColumn="1" w:firstRow="1" w:lastColumn="0" w:lastRow="0" w:noHBand="0" w:noVBand="1" w:val="04A0"/>
      </w:tblPr>
      <w:tblGrid>
        <w:gridCol w:w="10224"/>
      </w:tblGrid>
      <w:tr>
        <w:tc>
          <w:tcPr>
            <w:tcW w:type="dxa" w:w="10152"/>
            <w:shd w:fill="EAF3FB"/>
            <w:tcBorders>
              <w:top w:val="single" w:sz="8" w:space="0" w:color="8CB8DF"/>
              <w:left w:val="single" w:sz="8" w:space="0" w:color="8CB8DF"/>
              <w:bottom w:val="single" w:sz="8" w:space="0" w:color="8CB8DF"/>
              <w:right w:val="single" w:sz="8" w:space="0" w:color="8CB8DF"/>
            </w:tcBorders>
            <w:tcMar>
              <w:top w:w="110" w:type="dxa"/>
              <w:start w:w="135" w:type="dxa"/>
              <w:bottom w:w="110" w:type="dxa"/>
              <w:end w:w="135" w:type="dxa"/>
            </w:tcMar>
          </w:tcPr>
          <w:p>
            <w:pPr>
              <w:keepNext w:val="0"/>
              <w:spacing w:before="0" w:after="40" w:line="252" w:lineRule="auto"/>
            </w:pPr>
            <w:r>
              <w:rPr>
                <w:rFonts w:ascii="Arial" w:hAnsi="Arial" w:eastAsia="Arial"/>
                <w:b/>
                <w:i w:val="0"/>
                <w:color w:val="162F7A"/>
                <w:sz w:val="19"/>
              </w:rPr>
              <w:t xml:space="preserve">Core rule  </w:t>
            </w:r>
            <w:r>
              <w:rPr>
                <w:rFonts w:ascii="Arial" w:hAnsi="Arial" w:eastAsia="Arial"/>
                <w:b w:val="0"/>
                <w:i w:val="0"/>
                <w:color w:val="1F2933"/>
                <w:sz w:val="19"/>
              </w:rPr>
              <w:t>One workload family, one cache state, one engine boundary, and one matched deployment pair per comparison. A benchmark is invalid when a required request fails, the model differs, or either paired server is not healthy.</w:t>
            </w:r>
          </w:p>
        </w:tc>
      </w:tr>
    </w:tbl>
    <w:p>
      <w:pPr>
        <w:spacing w:after="0"/>
      </w:pPr>
    </w:p>
    <w:p>
      <w:r>
        <w:br w:type="page"/>
      </w:r>
    </w:p>
    <w:p>
      <w:pPr>
        <w:keepNext/>
        <w:spacing w:before="0" w:after="60" w:line="259" w:lineRule="auto"/>
        <w:jc w:val="left"/>
      </w:pPr>
      <w:r>
        <w:rPr>
          <w:rFonts w:ascii="Arial" w:hAnsi="Arial" w:eastAsia="Arial"/>
          <w:b/>
          <w:i w:val="0"/>
          <w:color w:val="2F75B5"/>
          <w:sz w:val="18"/>
        </w:rPr>
        <w:t>02  WORKLOADS</w:t>
      </w:r>
    </w:p>
    <w:p>
      <w:pPr>
        <w:keepNext/>
        <w:spacing w:before="0" w:after="160" w:line="240" w:lineRule="auto"/>
        <w:jc w:val="left"/>
      </w:pPr>
      <w:r>
        <w:rPr>
          <w:rFonts w:ascii="Arial" w:hAnsi="Arial" w:eastAsia="Arial"/>
          <w:b/>
          <w:i w:val="0"/>
          <w:color w:val="162F7A"/>
          <w:sz w:val="36"/>
        </w:rPr>
        <w:t>Response-start and prefill workloads</w:t>
      </w:r>
    </w:p>
    <w:p>
      <w:pPr>
        <w:keepNext w:val="0"/>
        <w:spacing w:before="0" w:after="160" w:line="264" w:lineRule="auto"/>
        <w:jc w:val="left"/>
      </w:pPr>
      <w:r>
        <w:rPr>
          <w:rFonts w:ascii="Arial" w:hAnsi="Arial" w:eastAsia="Arial"/>
          <w:b w:val="0"/>
          <w:i w:val="0"/>
          <w:color w:val="1F2933"/>
          <w:sz w:val="20"/>
        </w:rPr>
        <w:t>These tests examine how quickly the system can process the input context and begin responding. They use unique inputs for cold comparisons and a deliberately shared prefix for cache-aware comparisons.</w:t>
      </w:r>
    </w:p>
    <w:p>
      <w:pPr>
        <w:keepNext w:val="0"/>
        <w:spacing w:before="0" w:after="140" w:line="240" w:lineRule="auto"/>
        <w:pBdr>
          <w:bottom w:val="single" w:sz="10" w:space="1" w:color="2F75B5"/>
        </w:pBdr>
      </w:pPr>
    </w:p>
    <w:tbl>
      <w:tblPr>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trPr>
        <w:tc>
          <w:tcPr>
            <w:tcW w:type="dxa" w:w="1800"/>
            <w:shd w:fill="162F7A"/>
            <w:tcBorders>
              <w:top w:val="single" w:sz="6" w:space="0" w:color="162F7A"/>
              <w:left w:val="single" w:sz="6" w:space="0" w:color="162F7A"/>
              <w:bottom w:val="single" w:sz="6" w:space="0" w:color="162F7A"/>
              <w:right w:val="single" w:sz="6" w:space="0" w:color="162F7A"/>
            </w:tcBorders>
            <w:tcMar>
              <w:top w:w="85" w:type="dxa"/>
              <w:start w:w="95" w:type="dxa"/>
              <w:bottom w:w="85" w:type="dxa"/>
              <w:end w:w="95" w:type="dxa"/>
            </w:tcMar>
            <w:vAlign w:val="center"/>
          </w:tcPr>
          <w:p>
            <w:pPr>
              <w:keepNext w:val="0"/>
              <w:spacing w:before="0" w:after="0" w:line="240" w:lineRule="auto"/>
              <w:jc w:val="left"/>
            </w:pPr>
            <w:r>
              <w:rPr>
                <w:rFonts w:ascii="Arial" w:hAnsi="Arial" w:eastAsia="Arial"/>
                <w:b/>
                <w:i w:val="0"/>
                <w:color w:val="FFFFFF"/>
                <w:sz w:val="15"/>
              </w:rPr>
              <w:t>Workload family</w:t>
            </w:r>
          </w:p>
        </w:tc>
        <w:tc>
          <w:tcPr>
            <w:tcW w:type="dxa" w:w="2448"/>
            <w:shd w:fill="162F7A"/>
            <w:tcBorders>
              <w:top w:val="single" w:sz="6" w:space="0" w:color="162F7A"/>
              <w:left w:val="single" w:sz="6" w:space="0" w:color="162F7A"/>
              <w:bottom w:val="single" w:sz="6" w:space="0" w:color="162F7A"/>
              <w:right w:val="single" w:sz="6" w:space="0" w:color="162F7A"/>
            </w:tcBorders>
            <w:tcMar>
              <w:top w:w="85" w:type="dxa"/>
              <w:start w:w="95" w:type="dxa"/>
              <w:bottom w:w="85" w:type="dxa"/>
              <w:end w:w="95" w:type="dxa"/>
            </w:tcMar>
            <w:vAlign w:val="center"/>
          </w:tcPr>
          <w:p>
            <w:pPr>
              <w:keepNext w:val="0"/>
              <w:spacing w:before="0" w:after="0" w:line="240" w:lineRule="auto"/>
              <w:jc w:val="left"/>
            </w:pPr>
            <w:r>
              <w:rPr>
                <w:rFonts w:ascii="Arial" w:hAnsi="Arial" w:eastAsia="Arial"/>
                <w:b/>
                <w:i w:val="0"/>
                <w:color w:val="FFFFFF"/>
                <w:sz w:val="15"/>
              </w:rPr>
              <w:t>Representative input / run pattern</w:t>
            </w:r>
          </w:p>
        </w:tc>
        <w:tc>
          <w:tcPr>
            <w:tcW w:type="dxa" w:w="2332"/>
            <w:shd w:fill="162F7A"/>
            <w:tcBorders>
              <w:top w:val="single" w:sz="6" w:space="0" w:color="162F7A"/>
              <w:left w:val="single" w:sz="6" w:space="0" w:color="162F7A"/>
              <w:bottom w:val="single" w:sz="6" w:space="0" w:color="162F7A"/>
              <w:right w:val="single" w:sz="6" w:space="0" w:color="162F7A"/>
            </w:tcBorders>
            <w:tcMar>
              <w:top w:w="85" w:type="dxa"/>
              <w:start w:w="95" w:type="dxa"/>
              <w:bottom w:w="85" w:type="dxa"/>
              <w:end w:w="95" w:type="dxa"/>
            </w:tcMar>
            <w:vAlign w:val="center"/>
          </w:tcPr>
          <w:p>
            <w:pPr>
              <w:keepNext w:val="0"/>
              <w:spacing w:before="0" w:after="0" w:line="240" w:lineRule="auto"/>
              <w:jc w:val="left"/>
            </w:pPr>
            <w:r>
              <w:rPr>
                <w:rFonts w:ascii="Arial" w:hAnsi="Arial" w:eastAsia="Arial"/>
                <w:b/>
                <w:i w:val="0"/>
                <w:color w:val="FFFFFF"/>
                <w:sz w:val="15"/>
              </w:rPr>
              <w:t>Real-world example</w:t>
            </w:r>
          </w:p>
        </w:tc>
        <w:tc>
          <w:tcPr>
            <w:tcW w:type="dxa" w:w="1800"/>
            <w:shd w:fill="162F7A"/>
            <w:tcBorders>
              <w:top w:val="single" w:sz="6" w:space="0" w:color="162F7A"/>
              <w:left w:val="single" w:sz="6" w:space="0" w:color="162F7A"/>
              <w:bottom w:val="single" w:sz="6" w:space="0" w:color="162F7A"/>
              <w:right w:val="single" w:sz="6" w:space="0" w:color="162F7A"/>
            </w:tcBorders>
            <w:tcMar>
              <w:top w:w="85" w:type="dxa"/>
              <w:start w:w="95" w:type="dxa"/>
              <w:bottom w:w="85" w:type="dxa"/>
              <w:end w:w="95" w:type="dxa"/>
            </w:tcMar>
            <w:vAlign w:val="center"/>
          </w:tcPr>
          <w:p>
            <w:pPr>
              <w:keepNext w:val="0"/>
              <w:spacing w:before="0" w:after="0" w:line="240" w:lineRule="auto"/>
              <w:jc w:val="left"/>
            </w:pPr>
            <w:r>
              <w:rPr>
                <w:rFonts w:ascii="Arial" w:hAnsi="Arial" w:eastAsia="Arial"/>
                <w:b/>
                <w:i w:val="0"/>
                <w:color w:val="FFFFFF"/>
                <w:sz w:val="15"/>
              </w:rPr>
              <w:t>What it isolates</w:t>
            </w:r>
          </w:p>
        </w:tc>
        <w:tc>
          <w:tcPr>
            <w:tcW w:type="dxa" w:w="1771"/>
            <w:shd w:fill="162F7A"/>
            <w:tcBorders>
              <w:top w:val="single" w:sz="6" w:space="0" w:color="162F7A"/>
              <w:left w:val="single" w:sz="6" w:space="0" w:color="162F7A"/>
              <w:bottom w:val="single" w:sz="6" w:space="0" w:color="162F7A"/>
              <w:right w:val="single" w:sz="6" w:space="0" w:color="162F7A"/>
            </w:tcBorders>
            <w:tcMar>
              <w:top w:w="85" w:type="dxa"/>
              <w:start w:w="95" w:type="dxa"/>
              <w:bottom w:w="85" w:type="dxa"/>
              <w:end w:w="95" w:type="dxa"/>
            </w:tcMar>
            <w:vAlign w:val="center"/>
          </w:tcPr>
          <w:p>
            <w:pPr>
              <w:keepNext w:val="0"/>
              <w:spacing w:before="0" w:after="0" w:line="240" w:lineRule="auto"/>
              <w:jc w:val="left"/>
            </w:pPr>
            <w:r>
              <w:rPr>
                <w:rFonts w:ascii="Arial" w:hAnsi="Arial" w:eastAsia="Arial"/>
                <w:b/>
                <w:i w:val="0"/>
                <w:color w:val="FFFFFF"/>
                <w:sz w:val="15"/>
              </w:rPr>
              <w:t>Primary evidence</w:t>
            </w:r>
          </w:p>
        </w:tc>
      </w:tr>
      <w:tr>
        <w:trPr>
          <w:cantSplit/>
        </w:trPr>
        <w:tc>
          <w:tcPr>
            <w:tcW w:type="dxa" w:w="1800"/>
            <w:shd w:fill="FFFFFF"/>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5"/>
              </w:rPr>
              <w:t>Short unique response</w:t>
            </w:r>
          </w:p>
        </w:tc>
        <w:tc>
          <w:tcPr>
            <w:tcW w:type="dxa" w:w="2448"/>
            <w:shd w:fill="FFFFFF"/>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5"/>
              </w:rPr>
              <w:t>20–64 unique input tokens; 128 output tokens; cache disabled; concurrency 1</w:t>
            </w:r>
          </w:p>
        </w:tc>
        <w:tc>
          <w:tcPr>
            <w:tcW w:type="dxa" w:w="2332"/>
            <w:shd w:fill="FFFFFF"/>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5"/>
              </w:rPr>
              <w:t>A chat assistant answering a different short customer question each time</w:t>
            </w:r>
          </w:p>
        </w:tc>
        <w:tc>
          <w:tcPr>
            <w:tcW w:type="dxa" w:w="1800"/>
            <w:shd w:fill="FFFFFF"/>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5"/>
              </w:rPr>
              <w:t>Light prefill plus baseline response start</w:t>
            </w:r>
          </w:p>
        </w:tc>
        <w:tc>
          <w:tcPr>
            <w:tcW w:type="dxa" w:w="1771"/>
            <w:shd w:fill="FFFFFF"/>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5"/>
              </w:rPr>
              <w:t>TTFT p50/p95; E2E latency; ITL as a guardrail</w:t>
            </w:r>
          </w:p>
        </w:tc>
      </w:tr>
      <w:tr>
        <w:trPr>
          <w:cantSplit/>
        </w:trPr>
        <w:tc>
          <w:tcPr>
            <w:tcW w:type="dxa" w:w="1800"/>
            <w:shd w:fill="F2F4F7"/>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5"/>
              </w:rPr>
              <w:t>Medium unique context</w:t>
            </w:r>
          </w:p>
        </w:tc>
        <w:tc>
          <w:tcPr>
            <w:tcW w:type="dxa" w:w="2448"/>
            <w:shd w:fill="F2F4F7"/>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5"/>
              </w:rPr>
              <w:t>≈500 unique input tokens; 128 output tokens; cache disabled; concurrency 1</w:t>
            </w:r>
          </w:p>
        </w:tc>
        <w:tc>
          <w:tcPr>
            <w:tcW w:type="dxa" w:w="2332"/>
            <w:shd w:fill="F2F4F7"/>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5"/>
              </w:rPr>
              <w:t>Support assistant receives a fresh case summary or a small retrieved record</w:t>
            </w:r>
          </w:p>
        </w:tc>
        <w:tc>
          <w:tcPr>
            <w:tcW w:type="dxa" w:w="1800"/>
            <w:shd w:fill="F2F4F7"/>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5"/>
              </w:rPr>
              <w:t>How response start changes as prompt length grows</w:t>
            </w:r>
          </w:p>
        </w:tc>
        <w:tc>
          <w:tcPr>
            <w:tcW w:type="dxa" w:w="1771"/>
            <w:shd w:fill="F2F4F7"/>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5"/>
              </w:rPr>
              <w:t>TTFT p95; prompt-processing rate; E2E latency</w:t>
            </w:r>
          </w:p>
        </w:tc>
      </w:tr>
      <w:tr>
        <w:trPr>
          <w:cantSplit/>
        </w:trPr>
        <w:tc>
          <w:tcPr>
            <w:tcW w:type="dxa" w:w="1800"/>
            <w:shd w:fill="FFFFFF"/>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5"/>
              </w:rPr>
              <w:t>Cold document / RAG question</w:t>
            </w:r>
          </w:p>
        </w:tc>
        <w:tc>
          <w:tcPr>
            <w:tcW w:type="dxa" w:w="2448"/>
            <w:shd w:fill="FFFFFF"/>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5"/>
              </w:rPr>
              <w:t>≈1,483 unique input tokens; 128 output tokens; cache disabled; 24 sequential prompts</w:t>
            </w:r>
          </w:p>
        </w:tc>
        <w:tc>
          <w:tcPr>
            <w:tcW w:type="dxa" w:w="2332"/>
            <w:shd w:fill="FFFFFF"/>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5"/>
              </w:rPr>
              <w:t>Ask a unique question about a different contract, policy, incident report, or retrieved document</w:t>
            </w:r>
          </w:p>
        </w:tc>
        <w:tc>
          <w:tcPr>
            <w:tcW w:type="dxa" w:w="1800"/>
            <w:shd w:fill="FFFFFF"/>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5"/>
              </w:rPr>
              <w:t>Input-heavy prefill without reuse</w:t>
            </w:r>
          </w:p>
        </w:tc>
        <w:tc>
          <w:tcPr>
            <w:tcW w:type="dxa" w:w="1771"/>
            <w:shd w:fill="FFFFFF"/>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5"/>
              </w:rPr>
              <w:t>TTFT p95; prompt throughput; completion rate</w:t>
            </w:r>
          </w:p>
        </w:tc>
      </w:tr>
      <w:tr>
        <w:trPr>
          <w:cantSplit/>
        </w:trPr>
        <w:tc>
          <w:tcPr>
            <w:tcW w:type="dxa" w:w="1800"/>
            <w:shd w:fill="F2F4F7"/>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5"/>
              </w:rPr>
              <w:t>Warm shared-context Q&amp;A</w:t>
            </w:r>
          </w:p>
        </w:tc>
        <w:tc>
          <w:tcPr>
            <w:tcW w:type="dxa" w:w="2448"/>
            <w:shd w:fill="F2F4F7"/>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5"/>
              </w:rPr>
              <w:t>Shared ≈1,536-token prefix + unique question; cache enabled; prime once, then measure</w:t>
            </w:r>
          </w:p>
        </w:tc>
        <w:tc>
          <w:tcPr>
            <w:tcW w:type="dxa" w:w="2332"/>
            <w:shd w:fill="F2F4F7"/>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5"/>
              </w:rPr>
              <w:t>Many users ask questions against the same policy manual, knowledge-base article, or long system prompt</w:t>
            </w:r>
          </w:p>
        </w:tc>
        <w:tc>
          <w:tcPr>
            <w:tcW w:type="dxa" w:w="1800"/>
            <w:shd w:fill="F2F4F7"/>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5"/>
              </w:rPr>
              <w:t>Value of prefix/KV reuse for repeated context</w:t>
            </w:r>
          </w:p>
        </w:tc>
        <w:tc>
          <w:tcPr>
            <w:tcW w:type="dxa" w:w="1771"/>
            <w:shd w:fill="F2F4F7"/>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5"/>
              </w:rPr>
              <w:t>Cache-hit rate; TTFT change versus cold run; prompt throughput</w:t>
            </w:r>
          </w:p>
        </w:tc>
      </w:tr>
    </w:tbl>
    <w:p>
      <w:pPr>
        <w:spacing w:after="0"/>
      </w:pPr>
    </w:p>
    <w:p>
      <w:pPr>
        <w:keepNext/>
        <w:spacing w:before="160" w:after="80" w:line="240" w:lineRule="auto"/>
        <w:jc w:val="left"/>
      </w:pPr>
      <w:r>
        <w:rPr>
          <w:rFonts w:ascii="Arial" w:hAnsi="Arial" w:eastAsia="Arial"/>
          <w:b/>
          <w:i w:val="0"/>
          <w:color w:val="162F7A"/>
          <w:sz w:val="23"/>
        </w:rPr>
        <w:t>Expected behavior</w:t>
      </w:r>
    </w:p>
    <w:p>
      <w:pPr>
        <w:keepNext w:val="0"/>
        <w:spacing w:before="0" w:after="140" w:line="259" w:lineRule="auto"/>
        <w:jc w:val="left"/>
      </w:pPr>
      <w:r>
        <w:rPr>
          <w:rFonts w:ascii="Arial" w:hAnsi="Arial" w:eastAsia="Arial"/>
          <w:b w:val="0"/>
          <w:i w:val="0"/>
          <w:color w:val="1F2933"/>
          <w:sz w:val="19"/>
        </w:rPr>
        <w:t>With unique prompts and cache disabled, longer inputs should increase the amount of work before the first token. With a genuine shared prefix and cache enabled, the first-request warm-up is excluded and later requests should show a lower TTFT if reusable KV state is retained. A cache win should not be described as a decode-speed win unless generation metrics also move under a matched test.</w:t>
      </w:r>
    </w:p>
    <w:tbl>
      <w:tblPr>
        <w:tblW w:type="auto" w:w="0"/>
        <w:tblLayout w:type="fixed"/>
        <w:tblLook w:firstColumn="1" w:firstRow="1" w:lastColumn="0" w:lastRow="0" w:noHBand="0" w:noVBand="1" w:val="04A0"/>
      </w:tblPr>
      <w:tblGrid>
        <w:gridCol w:w="10224"/>
      </w:tblGrid>
      <w:tr>
        <w:tc>
          <w:tcPr>
            <w:tcW w:type="dxa" w:w="10152"/>
            <w:shd w:fill="EAF3FB"/>
            <w:tcBorders>
              <w:top w:val="single" w:sz="8" w:space="0" w:color="8CB8DF"/>
              <w:left w:val="single" w:sz="8" w:space="0" w:color="8CB8DF"/>
              <w:bottom w:val="single" w:sz="8" w:space="0" w:color="8CB8DF"/>
              <w:right w:val="single" w:sz="8" w:space="0" w:color="8CB8DF"/>
            </w:tcBorders>
            <w:tcMar>
              <w:top w:w="110" w:type="dxa"/>
              <w:start w:w="135" w:type="dxa"/>
              <w:bottom w:w="110" w:type="dxa"/>
              <w:end w:w="135" w:type="dxa"/>
            </w:tcMar>
          </w:tcPr>
          <w:p>
            <w:pPr>
              <w:keepNext w:val="0"/>
              <w:spacing w:before="0" w:after="40" w:line="252" w:lineRule="auto"/>
            </w:pPr>
            <w:r>
              <w:rPr>
                <w:rFonts w:ascii="Arial" w:hAnsi="Arial" w:eastAsia="Arial"/>
                <w:b/>
                <w:i w:val="0"/>
                <w:color w:val="162F7A"/>
                <w:sz w:val="19"/>
              </w:rPr>
              <w:t xml:space="preserve">Interpret with care  </w:t>
            </w:r>
            <w:r>
              <w:rPr>
                <w:rFonts w:ascii="Arial" w:hAnsi="Arial" w:eastAsia="Arial"/>
                <w:b w:val="0"/>
                <w:i w:val="0"/>
                <w:color w:val="1F2933"/>
                <w:sz w:val="19"/>
              </w:rPr>
              <w:t>TTFT includes client/server overhead and any queueing as well as prefill. Confirm the queue is quiet for a pure prefill comparison, and use the native llama.cpp prompt microbenchmark when the question is specifically engine prompt-processing efficiency.</w:t>
            </w:r>
          </w:p>
        </w:tc>
      </w:tr>
    </w:tbl>
    <w:p>
      <w:pPr>
        <w:spacing w:after="0"/>
      </w:pPr>
    </w:p>
    <w:p>
      <w:r>
        <w:br w:type="page"/>
      </w:r>
    </w:p>
    <w:p>
      <w:pPr>
        <w:keepNext/>
        <w:spacing w:before="0" w:after="60" w:line="259" w:lineRule="auto"/>
        <w:jc w:val="left"/>
      </w:pPr>
      <w:r>
        <w:rPr>
          <w:rFonts w:ascii="Arial" w:hAnsi="Arial" w:eastAsia="Arial"/>
          <w:b/>
          <w:i w:val="0"/>
          <w:color w:val="2F75B5"/>
          <w:sz w:val="18"/>
        </w:rPr>
        <w:t>03  WORKLOADS</w:t>
      </w:r>
    </w:p>
    <w:p>
      <w:pPr>
        <w:keepNext/>
        <w:spacing w:before="0" w:after="160" w:line="240" w:lineRule="auto"/>
        <w:jc w:val="left"/>
      </w:pPr>
      <w:r>
        <w:rPr>
          <w:rFonts w:ascii="Arial" w:hAnsi="Arial" w:eastAsia="Arial"/>
          <w:b/>
          <w:i w:val="0"/>
          <w:color w:val="162F7A"/>
          <w:sz w:val="36"/>
        </w:rPr>
        <w:t>Generation, concurrency, and scale workloads</w:t>
      </w:r>
    </w:p>
    <w:p>
      <w:pPr>
        <w:keepNext w:val="0"/>
        <w:spacing w:before="0" w:after="160" w:line="264" w:lineRule="auto"/>
        <w:jc w:val="left"/>
      </w:pPr>
      <w:r>
        <w:rPr>
          <w:rFonts w:ascii="Arial" w:hAnsi="Arial" w:eastAsia="Arial"/>
          <w:b w:val="0"/>
          <w:i w:val="0"/>
          <w:color w:val="1F2933"/>
          <w:sz w:val="20"/>
        </w:rPr>
        <w:t>These workloads begin with a small prompt and deliberately make the output or the arrival rate do the work. They reveal decode behavior, scheduler capacity, and the point where a server begins to queue.</w:t>
      </w:r>
    </w:p>
    <w:p>
      <w:pPr>
        <w:keepNext w:val="0"/>
        <w:spacing w:before="0" w:after="140" w:line="240" w:lineRule="auto"/>
        <w:pBdr>
          <w:bottom w:val="single" w:sz="10" w:space="1" w:color="2F75B5"/>
        </w:pBdr>
      </w:pPr>
    </w:p>
    <w:tbl>
      <w:tblPr>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trPr>
        <w:tc>
          <w:tcPr>
            <w:tcW w:type="dxa" w:w="1800"/>
            <w:shd w:fill="162F7A"/>
            <w:tcBorders>
              <w:top w:val="single" w:sz="6" w:space="0" w:color="162F7A"/>
              <w:left w:val="single" w:sz="6" w:space="0" w:color="162F7A"/>
              <w:bottom w:val="single" w:sz="6" w:space="0" w:color="162F7A"/>
              <w:right w:val="single" w:sz="6" w:space="0" w:color="162F7A"/>
            </w:tcBorders>
            <w:tcMar>
              <w:top w:w="85" w:type="dxa"/>
              <w:start w:w="95" w:type="dxa"/>
              <w:bottom w:w="85" w:type="dxa"/>
              <w:end w:w="95" w:type="dxa"/>
            </w:tcMar>
            <w:vAlign w:val="center"/>
          </w:tcPr>
          <w:p>
            <w:pPr>
              <w:keepNext w:val="0"/>
              <w:spacing w:before="0" w:after="0" w:line="240" w:lineRule="auto"/>
              <w:jc w:val="left"/>
            </w:pPr>
            <w:r>
              <w:rPr>
                <w:rFonts w:ascii="Arial" w:hAnsi="Arial" w:eastAsia="Arial"/>
                <w:b/>
                <w:i w:val="0"/>
                <w:color w:val="FFFFFF"/>
                <w:sz w:val="15"/>
              </w:rPr>
              <w:t>Workload family</w:t>
            </w:r>
          </w:p>
        </w:tc>
        <w:tc>
          <w:tcPr>
            <w:tcW w:type="dxa" w:w="2448"/>
            <w:shd w:fill="162F7A"/>
            <w:tcBorders>
              <w:top w:val="single" w:sz="6" w:space="0" w:color="162F7A"/>
              <w:left w:val="single" w:sz="6" w:space="0" w:color="162F7A"/>
              <w:bottom w:val="single" w:sz="6" w:space="0" w:color="162F7A"/>
              <w:right w:val="single" w:sz="6" w:space="0" w:color="162F7A"/>
            </w:tcBorders>
            <w:tcMar>
              <w:top w:w="85" w:type="dxa"/>
              <w:start w:w="95" w:type="dxa"/>
              <w:bottom w:w="85" w:type="dxa"/>
              <w:end w:w="95" w:type="dxa"/>
            </w:tcMar>
            <w:vAlign w:val="center"/>
          </w:tcPr>
          <w:p>
            <w:pPr>
              <w:keepNext w:val="0"/>
              <w:spacing w:before="0" w:after="0" w:line="240" w:lineRule="auto"/>
              <w:jc w:val="left"/>
            </w:pPr>
            <w:r>
              <w:rPr>
                <w:rFonts w:ascii="Arial" w:hAnsi="Arial" w:eastAsia="Arial"/>
                <w:b/>
                <w:i w:val="0"/>
                <w:color w:val="FFFFFF"/>
                <w:sz w:val="15"/>
              </w:rPr>
              <w:t>Representative input / run pattern</w:t>
            </w:r>
          </w:p>
        </w:tc>
        <w:tc>
          <w:tcPr>
            <w:tcW w:type="dxa" w:w="2332"/>
            <w:shd w:fill="162F7A"/>
            <w:tcBorders>
              <w:top w:val="single" w:sz="6" w:space="0" w:color="162F7A"/>
              <w:left w:val="single" w:sz="6" w:space="0" w:color="162F7A"/>
              <w:bottom w:val="single" w:sz="6" w:space="0" w:color="162F7A"/>
              <w:right w:val="single" w:sz="6" w:space="0" w:color="162F7A"/>
            </w:tcBorders>
            <w:tcMar>
              <w:top w:w="85" w:type="dxa"/>
              <w:start w:w="95" w:type="dxa"/>
              <w:bottom w:w="85" w:type="dxa"/>
              <w:end w:w="95" w:type="dxa"/>
            </w:tcMar>
            <w:vAlign w:val="center"/>
          </w:tcPr>
          <w:p>
            <w:pPr>
              <w:keepNext w:val="0"/>
              <w:spacing w:before="0" w:after="0" w:line="240" w:lineRule="auto"/>
              <w:jc w:val="left"/>
            </w:pPr>
            <w:r>
              <w:rPr>
                <w:rFonts w:ascii="Arial" w:hAnsi="Arial" w:eastAsia="Arial"/>
                <w:b/>
                <w:i w:val="0"/>
                <w:color w:val="FFFFFF"/>
                <w:sz w:val="15"/>
              </w:rPr>
              <w:t>Real-world example</w:t>
            </w:r>
          </w:p>
        </w:tc>
        <w:tc>
          <w:tcPr>
            <w:tcW w:type="dxa" w:w="1800"/>
            <w:shd w:fill="162F7A"/>
            <w:tcBorders>
              <w:top w:val="single" w:sz="6" w:space="0" w:color="162F7A"/>
              <w:left w:val="single" w:sz="6" w:space="0" w:color="162F7A"/>
              <w:bottom w:val="single" w:sz="6" w:space="0" w:color="162F7A"/>
              <w:right w:val="single" w:sz="6" w:space="0" w:color="162F7A"/>
            </w:tcBorders>
            <w:tcMar>
              <w:top w:w="85" w:type="dxa"/>
              <w:start w:w="95" w:type="dxa"/>
              <w:bottom w:w="85" w:type="dxa"/>
              <w:end w:w="95" w:type="dxa"/>
            </w:tcMar>
            <w:vAlign w:val="center"/>
          </w:tcPr>
          <w:p>
            <w:pPr>
              <w:keepNext w:val="0"/>
              <w:spacing w:before="0" w:after="0" w:line="240" w:lineRule="auto"/>
              <w:jc w:val="left"/>
            </w:pPr>
            <w:r>
              <w:rPr>
                <w:rFonts w:ascii="Arial" w:hAnsi="Arial" w:eastAsia="Arial"/>
                <w:b/>
                <w:i w:val="0"/>
                <w:color w:val="FFFFFF"/>
                <w:sz w:val="15"/>
              </w:rPr>
              <w:t>What it isolates</w:t>
            </w:r>
          </w:p>
        </w:tc>
        <w:tc>
          <w:tcPr>
            <w:tcW w:type="dxa" w:w="1771"/>
            <w:shd w:fill="162F7A"/>
            <w:tcBorders>
              <w:top w:val="single" w:sz="6" w:space="0" w:color="162F7A"/>
              <w:left w:val="single" w:sz="6" w:space="0" w:color="162F7A"/>
              <w:bottom w:val="single" w:sz="6" w:space="0" w:color="162F7A"/>
              <w:right w:val="single" w:sz="6" w:space="0" w:color="162F7A"/>
            </w:tcBorders>
            <w:tcMar>
              <w:top w:w="85" w:type="dxa"/>
              <w:start w:w="95" w:type="dxa"/>
              <w:bottom w:w="85" w:type="dxa"/>
              <w:end w:w="95" w:type="dxa"/>
            </w:tcMar>
            <w:vAlign w:val="center"/>
          </w:tcPr>
          <w:p>
            <w:pPr>
              <w:keepNext w:val="0"/>
              <w:spacing w:before="0" w:after="0" w:line="240" w:lineRule="auto"/>
              <w:jc w:val="left"/>
            </w:pPr>
            <w:r>
              <w:rPr>
                <w:rFonts w:ascii="Arial" w:hAnsi="Arial" w:eastAsia="Arial"/>
                <w:b/>
                <w:i w:val="0"/>
                <w:color w:val="FFFFFF"/>
                <w:sz w:val="15"/>
              </w:rPr>
              <w:t>Primary evidence</w:t>
            </w:r>
          </w:p>
        </w:tc>
      </w:tr>
      <w:tr>
        <w:trPr>
          <w:cantSplit/>
        </w:trPr>
        <w:tc>
          <w:tcPr>
            <w:tcW w:type="dxa" w:w="1800"/>
            <w:shd w:fill="FFFFFF"/>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5"/>
              </w:rPr>
              <w:t>Long answer / creative writing</w:t>
            </w:r>
          </w:p>
        </w:tc>
        <w:tc>
          <w:tcPr>
            <w:tcW w:type="dxa" w:w="2448"/>
            <w:shd w:fill="FFFFFF"/>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5"/>
              </w:rPr>
              <w:t>≈24 input tokens; 512 output tokens; cache disabled; concurrency 1</w:t>
            </w:r>
          </w:p>
        </w:tc>
        <w:tc>
          <w:tcPr>
            <w:tcW w:type="dxa" w:w="2332"/>
            <w:shd w:fill="FFFFFF"/>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5"/>
              </w:rPr>
              <w:t>Draft a product story, long email, lesson plan, code explanation, or creative response</w:t>
            </w:r>
          </w:p>
        </w:tc>
        <w:tc>
          <w:tcPr>
            <w:tcW w:type="dxa" w:w="1800"/>
            <w:shd w:fill="FFFFFF"/>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5"/>
              </w:rPr>
              <w:t>Token-by-token decode at low contention</w:t>
            </w:r>
          </w:p>
        </w:tc>
        <w:tc>
          <w:tcPr>
            <w:tcW w:type="dxa" w:w="1771"/>
            <w:shd w:fill="FFFFFF"/>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5"/>
              </w:rPr>
              <w:t>ITL or TPOT; output tok/s; E2E latency</w:t>
            </w:r>
          </w:p>
        </w:tc>
      </w:tr>
      <w:tr>
        <w:trPr>
          <w:cantSplit/>
        </w:trPr>
        <w:tc>
          <w:tcPr>
            <w:tcW w:type="dxa" w:w="1800"/>
            <w:shd w:fill="F2F4F7"/>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5"/>
              </w:rPr>
              <w:t>Throughput / sustained users</w:t>
            </w:r>
          </w:p>
        </w:tc>
        <w:tc>
          <w:tcPr>
            <w:tcW w:type="dxa" w:w="2448"/>
            <w:shd w:fill="F2F4F7"/>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5"/>
              </w:rPr>
              <w:t>Mixed short and medium prompts; 256 outputs; cache disabled; concurrency 1 → 4 → 8; 64 requests at high point</w:t>
            </w:r>
          </w:p>
        </w:tc>
        <w:tc>
          <w:tcPr>
            <w:tcW w:type="dxa" w:w="2332"/>
            <w:shd w:fill="F2F4F7"/>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5"/>
              </w:rPr>
              <w:t>A multi-user assistant, content service, or internal chat workload arriving at the same time</w:t>
            </w:r>
          </w:p>
        </w:tc>
        <w:tc>
          <w:tcPr>
            <w:tcW w:type="dxa" w:w="1800"/>
            <w:shd w:fill="F2F4F7"/>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5"/>
              </w:rPr>
              <w:t>Capacity, batching, and the saturation knee</w:t>
            </w:r>
          </w:p>
        </w:tc>
        <w:tc>
          <w:tcPr>
            <w:tcW w:type="dxa" w:w="1771"/>
            <w:shd w:fill="F2F4F7"/>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5"/>
              </w:rPr>
              <w:t>Request/s; output tok/s; queue depth; TTFT and E2E p95</w:t>
            </w:r>
          </w:p>
        </w:tc>
      </w:tr>
      <w:tr>
        <w:trPr>
          <w:cantSplit/>
        </w:trPr>
        <w:tc>
          <w:tcPr>
            <w:tcW w:type="dxa" w:w="1800"/>
            <w:shd w:fill="FFFFFF"/>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5"/>
              </w:rPr>
              <w:t>Thread scaling</w:t>
            </w:r>
          </w:p>
        </w:tc>
        <w:tc>
          <w:tcPr>
            <w:tcW w:type="dxa" w:w="2448"/>
            <w:shd w:fill="FFFFFF"/>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5"/>
              </w:rPr>
              <w:t>Same long-unique workload; cache disabled; generation/prefill worker pairs: 16/16, 32/32, 64/64, 96/96, 192/192</w:t>
            </w:r>
          </w:p>
        </w:tc>
        <w:tc>
          <w:tcPr>
            <w:tcW w:type="dxa" w:w="2332"/>
            <w:shd w:fill="FFFFFF"/>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5"/>
              </w:rPr>
              <w:t>Tune a CPU serving process for a selected OCI host</w:t>
            </w:r>
          </w:p>
        </w:tc>
        <w:tc>
          <w:tcPr>
            <w:tcW w:type="dxa" w:w="1800"/>
            <w:shd w:fill="FFFFFF"/>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5"/>
              </w:rPr>
              <w:t>Worker scheduling and CPU/topology scaling</w:t>
            </w:r>
          </w:p>
        </w:tc>
        <w:tc>
          <w:tcPr>
            <w:tcW w:type="dxa" w:w="1771"/>
            <w:shd w:fill="FFFFFF"/>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5"/>
              </w:rPr>
              <w:t>Prompt/decode tok/s; TTFT; ITL; plateau point</w:t>
            </w:r>
          </w:p>
        </w:tc>
      </w:tr>
      <w:tr>
        <w:trPr>
          <w:cantSplit/>
        </w:trPr>
        <w:tc>
          <w:tcPr>
            <w:tcW w:type="dxa" w:w="1800"/>
            <w:shd w:fill="F2F4F7"/>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5"/>
              </w:rPr>
              <w:t>Model capacity sweep</w:t>
            </w:r>
          </w:p>
        </w:tc>
        <w:tc>
          <w:tcPr>
            <w:tcW w:type="dxa" w:w="2448"/>
            <w:shd w:fill="F2F4F7"/>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5"/>
              </w:rPr>
              <w:t>Qwen 7B then Qwen 14B; identical cache state and prompt family</w:t>
            </w:r>
          </w:p>
        </w:tc>
        <w:tc>
          <w:tcPr>
            <w:tcW w:type="dxa" w:w="2332"/>
            <w:shd w:fill="F2F4F7"/>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5"/>
              </w:rPr>
              <w:t>Move from a smaller assistant to a more capable model while preserving method</w:t>
            </w:r>
          </w:p>
        </w:tc>
        <w:tc>
          <w:tcPr>
            <w:tcW w:type="dxa" w:w="1800"/>
            <w:shd w:fill="F2F4F7"/>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5"/>
              </w:rPr>
              <w:t>Whether the shape advantage holds when model weights and memory pressure grow</w:t>
            </w:r>
          </w:p>
        </w:tc>
        <w:tc>
          <w:tcPr>
            <w:tcW w:type="dxa" w:w="1771"/>
            <w:shd w:fill="F2F4F7"/>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5"/>
              </w:rPr>
              <w:t>TTFT; ITL; completion rate; memory headroom</w:t>
            </w:r>
          </w:p>
        </w:tc>
      </w:tr>
    </w:tbl>
    <w:p>
      <w:pPr>
        <w:spacing w:after="0"/>
      </w:pPr>
    </w:p>
    <w:p>
      <w:pPr>
        <w:keepNext/>
        <w:spacing w:before="160" w:after="80" w:line="240" w:lineRule="auto"/>
        <w:jc w:val="left"/>
      </w:pPr>
      <w:r>
        <w:rPr>
          <w:rFonts w:ascii="Arial" w:hAnsi="Arial" w:eastAsia="Arial"/>
          <w:b/>
          <w:i w:val="0"/>
          <w:color w:val="162F7A"/>
          <w:sz w:val="23"/>
        </w:rPr>
        <w:t>Expected behavior</w:t>
      </w:r>
    </w:p>
    <w:p>
      <w:pPr>
        <w:keepNext w:val="0"/>
        <w:spacing w:before="0" w:after="140" w:line="259" w:lineRule="auto"/>
        <w:jc w:val="left"/>
      </w:pPr>
      <w:r>
        <w:rPr>
          <w:rFonts w:ascii="Arial" w:hAnsi="Arial" w:eastAsia="Arial"/>
          <w:b w:val="0"/>
          <w:i w:val="0"/>
          <w:color w:val="1F2933"/>
          <w:sz w:val="19"/>
        </w:rPr>
        <w:t>Long-output tests should be interpreted through inter-token latency (or TPOT) and output throughput, not only TTFT. Increasing concurrency should initially raise aggregate throughput. Past the saturation point, queues and p95 TTFT/E2E latency grow while incremental throughput flattens. That is a capacity finding, not necessarily a model-quality finding.</w:t>
      </w:r>
    </w:p>
    <w:tbl>
      <w:tblPr>
        <w:tblW w:type="auto" w:w="0"/>
        <w:tblLayout w:type="fixed"/>
        <w:tblLook w:firstColumn="1" w:firstRow="1" w:lastColumn="0" w:lastRow="0" w:noHBand="0" w:noVBand="1" w:val="04A0"/>
      </w:tblPr>
      <w:tblGrid>
        <w:gridCol w:w="10224"/>
      </w:tblGrid>
      <w:tr>
        <w:tc>
          <w:tcPr>
            <w:tcW w:type="dxa" w:w="10152"/>
            <w:shd w:fill="EAF3FB"/>
            <w:tcBorders>
              <w:top w:val="single" w:sz="8" w:space="0" w:color="8CB8DF"/>
              <w:left w:val="single" w:sz="8" w:space="0" w:color="8CB8DF"/>
              <w:bottom w:val="single" w:sz="8" w:space="0" w:color="8CB8DF"/>
              <w:right w:val="single" w:sz="8" w:space="0" w:color="8CB8DF"/>
            </w:tcBorders>
            <w:tcMar>
              <w:top w:w="110" w:type="dxa"/>
              <w:start w:w="135" w:type="dxa"/>
              <w:bottom w:w="110" w:type="dxa"/>
              <w:end w:w="135" w:type="dxa"/>
            </w:tcMar>
          </w:tcPr>
          <w:p>
            <w:pPr>
              <w:keepNext w:val="0"/>
              <w:spacing w:before="0" w:after="40" w:line="252" w:lineRule="auto"/>
            </w:pPr>
            <w:r>
              <w:rPr>
                <w:rFonts w:ascii="Arial" w:hAnsi="Arial" w:eastAsia="Arial"/>
                <w:b/>
                <w:i w:val="0"/>
                <w:color w:val="162F7A"/>
                <w:sz w:val="19"/>
              </w:rPr>
              <w:t xml:space="preserve">Terminology  </w:t>
            </w:r>
            <w:r>
              <w:rPr>
                <w:rFonts w:ascii="Arial" w:hAnsi="Arial" w:eastAsia="Arial"/>
                <w:b w:val="0"/>
                <w:i w:val="0"/>
                <w:color w:val="1F2933"/>
                <w:sz w:val="19"/>
              </w:rPr>
              <w:t>Client concurrency is the number of requests arriving together. llama.cpp parallel slots are the server’s request-capacity setting. Slots do not directly reduce the CPU worker threads available to inference; record both settings in every run.</w:t>
            </w:r>
          </w:p>
        </w:tc>
      </w:tr>
    </w:tbl>
    <w:p>
      <w:pPr>
        <w:spacing w:after="0"/>
      </w:pPr>
    </w:p>
    <w:p>
      <w:r>
        <w:br w:type="page"/>
      </w:r>
    </w:p>
    <w:p>
      <w:pPr>
        <w:keepNext/>
        <w:spacing w:before="0" w:after="60" w:line="259" w:lineRule="auto"/>
        <w:jc w:val="left"/>
      </w:pPr>
      <w:r>
        <w:rPr>
          <w:rFonts w:ascii="Arial" w:hAnsi="Arial" w:eastAsia="Arial"/>
          <w:b/>
          <w:i w:val="0"/>
          <w:color w:val="2F75B5"/>
          <w:sz w:val="18"/>
        </w:rPr>
        <w:t>04  TEST PLATFORMS</w:t>
      </w:r>
    </w:p>
    <w:p>
      <w:pPr>
        <w:keepNext/>
        <w:spacing w:before="0" w:after="160" w:line="240" w:lineRule="auto"/>
        <w:jc w:val="left"/>
      </w:pPr>
      <w:r>
        <w:rPr>
          <w:rFonts w:ascii="Arial" w:hAnsi="Arial" w:eastAsia="Arial"/>
          <w:b/>
          <w:i w:val="0"/>
          <w:color w:val="162F7A"/>
          <w:sz w:val="36"/>
        </w:rPr>
        <w:t>Platforms, engines, and measurement boundaries</w:t>
      </w:r>
    </w:p>
    <w:p>
      <w:pPr>
        <w:keepNext w:val="0"/>
        <w:spacing w:before="0" w:after="160" w:line="264" w:lineRule="auto"/>
        <w:jc w:val="left"/>
      </w:pPr>
      <w:r>
        <w:rPr>
          <w:rFonts w:ascii="Arial" w:hAnsi="Arial" w:eastAsia="Arial"/>
          <w:b w:val="0"/>
          <w:i w:val="0"/>
          <w:color w:val="1F2933"/>
          <w:sz w:val="20"/>
        </w:rPr>
        <w:t>The program uses several layers on purpose. Each gives a different kind of evidence, and results are compared only within the same layer unless the document explicitly calls out the boundary.</w:t>
      </w:r>
    </w:p>
    <w:p>
      <w:pPr>
        <w:keepNext w:val="0"/>
        <w:spacing w:before="0" w:after="140" w:line="240" w:lineRule="auto"/>
        <w:pBdr>
          <w:bottom w:val="single" w:sz="10" w:space="1" w:color="2F75B5"/>
        </w:pBdr>
      </w:pPr>
    </w:p>
    <w:p>
      <w:pPr>
        <w:keepNext/>
        <w:spacing w:before="160" w:after="80" w:line="240" w:lineRule="auto"/>
        <w:jc w:val="left"/>
      </w:pPr>
      <w:r>
        <w:rPr>
          <w:rFonts w:ascii="Arial" w:hAnsi="Arial" w:eastAsia="Arial"/>
          <w:b/>
          <w:i w:val="0"/>
          <w:color w:val="162F7A"/>
          <w:sz w:val="23"/>
        </w:rPr>
        <w:t>OCI platform comparison</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584"/>
            <w:shd w:fill="162F7A"/>
            <w:tcBorders>
              <w:top w:val="single" w:sz="6" w:space="0" w:color="162F7A"/>
              <w:left w:val="single" w:sz="6" w:space="0" w:color="162F7A"/>
              <w:bottom w:val="single" w:sz="6" w:space="0" w:color="162F7A"/>
              <w:right w:val="single" w:sz="6" w:space="0" w:color="162F7A"/>
            </w:tcBorders>
            <w:tcMar>
              <w:top w:w="85" w:type="dxa"/>
              <w:start w:w="95" w:type="dxa"/>
              <w:bottom w:w="85" w:type="dxa"/>
              <w:end w:w="95" w:type="dxa"/>
            </w:tcMar>
            <w:vAlign w:val="center"/>
          </w:tcPr>
          <w:p>
            <w:pPr>
              <w:keepNext w:val="0"/>
              <w:spacing w:before="0" w:after="0" w:line="240" w:lineRule="auto"/>
              <w:jc w:val="left"/>
            </w:pPr>
            <w:r>
              <w:rPr>
                <w:rFonts w:ascii="Arial" w:hAnsi="Arial" w:eastAsia="Arial"/>
                <w:b/>
                <w:i w:val="0"/>
                <w:color w:val="FFFFFF"/>
                <w:sz w:val="15"/>
              </w:rPr>
              <w:t>Platform</w:t>
            </w:r>
          </w:p>
        </w:tc>
        <w:tc>
          <w:tcPr>
            <w:tcW w:type="dxa" w:w="2880"/>
            <w:shd w:fill="162F7A"/>
            <w:tcBorders>
              <w:top w:val="single" w:sz="6" w:space="0" w:color="162F7A"/>
              <w:left w:val="single" w:sz="6" w:space="0" w:color="162F7A"/>
              <w:bottom w:val="single" w:sz="6" w:space="0" w:color="162F7A"/>
              <w:right w:val="single" w:sz="6" w:space="0" w:color="162F7A"/>
            </w:tcBorders>
            <w:tcMar>
              <w:top w:w="85" w:type="dxa"/>
              <w:start w:w="95" w:type="dxa"/>
              <w:bottom w:w="85" w:type="dxa"/>
              <w:end w:w="95" w:type="dxa"/>
            </w:tcMar>
            <w:vAlign w:val="center"/>
          </w:tcPr>
          <w:p>
            <w:pPr>
              <w:keepNext w:val="0"/>
              <w:spacing w:before="0" w:after="0" w:line="240" w:lineRule="auto"/>
              <w:jc w:val="left"/>
            </w:pPr>
            <w:r>
              <w:rPr>
                <w:rFonts w:ascii="Arial" w:hAnsi="Arial" w:eastAsia="Arial"/>
                <w:b/>
                <w:i w:val="0"/>
                <w:color w:val="FFFFFF"/>
                <w:sz w:val="15"/>
              </w:rPr>
              <w:t>Use in the program</w:t>
            </w:r>
          </w:p>
        </w:tc>
        <w:tc>
          <w:tcPr>
            <w:tcW w:type="dxa" w:w="2908"/>
            <w:shd w:fill="162F7A"/>
            <w:tcBorders>
              <w:top w:val="single" w:sz="6" w:space="0" w:color="162F7A"/>
              <w:left w:val="single" w:sz="6" w:space="0" w:color="162F7A"/>
              <w:bottom w:val="single" w:sz="6" w:space="0" w:color="162F7A"/>
              <w:right w:val="single" w:sz="6" w:space="0" w:color="162F7A"/>
            </w:tcBorders>
            <w:tcMar>
              <w:top w:w="85" w:type="dxa"/>
              <w:start w:w="95" w:type="dxa"/>
              <w:bottom w:w="85" w:type="dxa"/>
              <w:end w:w="95" w:type="dxa"/>
            </w:tcMar>
            <w:vAlign w:val="center"/>
          </w:tcPr>
          <w:p>
            <w:pPr>
              <w:keepNext w:val="0"/>
              <w:spacing w:before="0" w:after="0" w:line="240" w:lineRule="auto"/>
              <w:jc w:val="left"/>
            </w:pPr>
            <w:r>
              <w:rPr>
                <w:rFonts w:ascii="Arial" w:hAnsi="Arial" w:eastAsia="Arial"/>
                <w:b/>
                <w:i w:val="0"/>
                <w:color w:val="FFFFFF"/>
                <w:sz w:val="15"/>
              </w:rPr>
              <w:t>Matched deployment rule</w:t>
            </w:r>
          </w:p>
        </w:tc>
        <w:tc>
          <w:tcPr>
            <w:tcW w:type="dxa" w:w="2779"/>
            <w:shd w:fill="162F7A"/>
            <w:tcBorders>
              <w:top w:val="single" w:sz="6" w:space="0" w:color="162F7A"/>
              <w:left w:val="single" w:sz="6" w:space="0" w:color="162F7A"/>
              <w:bottom w:val="single" w:sz="6" w:space="0" w:color="162F7A"/>
              <w:right w:val="single" w:sz="6" w:space="0" w:color="162F7A"/>
            </w:tcBorders>
            <w:tcMar>
              <w:top w:w="85" w:type="dxa"/>
              <w:start w:w="95" w:type="dxa"/>
              <w:bottom w:w="85" w:type="dxa"/>
              <w:end w:w="95" w:type="dxa"/>
            </w:tcMar>
            <w:vAlign w:val="center"/>
          </w:tcPr>
          <w:p>
            <w:pPr>
              <w:keepNext w:val="0"/>
              <w:spacing w:before="0" w:after="0" w:line="240" w:lineRule="auto"/>
              <w:jc w:val="left"/>
            </w:pPr>
            <w:r>
              <w:rPr>
                <w:rFonts w:ascii="Arial" w:hAnsi="Arial" w:eastAsia="Arial"/>
                <w:b/>
                <w:i w:val="0"/>
                <w:color w:val="FFFFFF"/>
                <w:sz w:val="15"/>
              </w:rPr>
              <w:t>Interpretation boundary</w:t>
            </w:r>
          </w:p>
        </w:tc>
      </w:tr>
      <w:tr>
        <w:trPr>
          <w:cantSplit/>
        </w:trPr>
        <w:tc>
          <w:tcPr>
            <w:tcW w:type="dxa" w:w="1584"/>
            <w:shd w:fill="FFFFFF"/>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5"/>
              </w:rPr>
              <w:t>Shared OCI VM</w:t>
            </w:r>
          </w:p>
        </w:tc>
        <w:tc>
          <w:tcPr>
            <w:tcW w:type="dxa" w:w="2880"/>
            <w:shd w:fill="FFFFFF"/>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5"/>
              </w:rPr>
              <w:t>VM.Standard.E6.Flex versus VM.Standard.E6.Ax.Flex; rapid, flexible shape comparisons at matched 4 OCPU / 32 GiB or 8 OCPU / 64 GiB configurations</w:t>
            </w:r>
          </w:p>
        </w:tc>
        <w:tc>
          <w:tcPr>
            <w:tcW w:type="dxa" w:w="2908"/>
            <w:shd w:fill="FFFFFF"/>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5"/>
              </w:rPr>
              <w:t>Same selected OCPUs, memory, image, model, engine, flags, and client schedule</w:t>
            </w:r>
          </w:p>
        </w:tc>
        <w:tc>
          <w:tcPr>
            <w:tcW w:type="dxa" w:w="2779"/>
            <w:shd w:fill="FFFFFF"/>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5"/>
              </w:rPr>
              <w:t>Directional evidence: physical-host placement, neighboring tenancy, and cache/memory sharing can affect a VM run</w:t>
            </w:r>
          </w:p>
        </w:tc>
      </w:tr>
      <w:tr>
        <w:trPr>
          <w:cantSplit/>
        </w:trPr>
        <w:tc>
          <w:tcPr>
            <w:tcW w:type="dxa" w:w="1584"/>
            <w:shd w:fill="F2F4F7"/>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5"/>
              </w:rPr>
              <w:t>OCI bare metal</w:t>
            </w:r>
          </w:p>
        </w:tc>
        <w:tc>
          <w:tcPr>
            <w:tcW w:type="dxa" w:w="2880"/>
            <w:shd w:fill="F2F4F7"/>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5"/>
              </w:rPr>
              <w:t>BM.Standard.E6.256 versus BM.Standard.E6.Ax.192; repeated thread and scale tests without VM-neighbor interference</w:t>
            </w:r>
          </w:p>
        </w:tc>
        <w:tc>
          <w:tcPr>
            <w:tcW w:type="dxa" w:w="2908"/>
            <w:shd w:fill="F2F4F7"/>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5"/>
              </w:rPr>
              <w:t>Same engine, model, workload, and explicit worker thread pair; whole host is allocated</w:t>
            </w:r>
          </w:p>
        </w:tc>
        <w:tc>
          <w:tcPr>
            <w:tcW w:type="dxa" w:w="2779"/>
            <w:shd w:fill="F2F4F7"/>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5"/>
              </w:rPr>
              <w:t>Shape-level capacity comparison: the fixed SKUs differ in available total core count, so it is not a pure per-core claim</w:t>
            </w:r>
          </w:p>
        </w:tc>
      </w:tr>
      <w:tr>
        <w:trPr>
          <w:cantSplit/>
        </w:trPr>
        <w:tc>
          <w:tcPr>
            <w:tcW w:type="dxa" w:w="1584"/>
            <w:shd w:fill="FFFFFF"/>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5"/>
              </w:rPr>
              <w:t>OKE + LLM-D</w:t>
            </w:r>
          </w:p>
        </w:tc>
        <w:tc>
          <w:tcPr>
            <w:tcW w:type="dxa" w:w="2880"/>
            <w:shd w:fill="FFFFFF"/>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5"/>
              </w:rPr>
              <w:t>CPU vLLM serving path with EPP routing, observability, KEDA, and autoscaling experiments</w:t>
            </w:r>
          </w:p>
        </w:tc>
        <w:tc>
          <w:tcPr>
            <w:tcW w:type="dxa" w:w="2908"/>
            <w:shd w:fill="FFFFFF"/>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5"/>
              </w:rPr>
              <w:t>Same namespace, route, model, server settings, traffic recipe, and telemetry window</w:t>
            </w:r>
          </w:p>
        </w:tc>
        <w:tc>
          <w:tcPr>
            <w:tcW w:type="dxa" w:w="2779"/>
            <w:shd w:fill="FFFFFF"/>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5"/>
              </w:rPr>
              <w:t>System behavior test: includes routing, queues, pod lifecycle, cache, and cluster capacity—not a llama.cpp native microbenchmark</w:t>
            </w:r>
          </w:p>
        </w:tc>
      </w:tr>
    </w:tbl>
    <w:p>
      <w:pPr>
        <w:spacing w:after="0"/>
      </w:pPr>
    </w:p>
    <w:p>
      <w:pPr>
        <w:keepNext/>
        <w:spacing w:before="160" w:after="80" w:line="240" w:lineRule="auto"/>
        <w:jc w:val="left"/>
      </w:pPr>
      <w:r>
        <w:rPr>
          <w:rFonts w:ascii="Arial" w:hAnsi="Arial" w:eastAsia="Arial"/>
          <w:b/>
          <w:i w:val="0"/>
          <w:color w:val="162F7A"/>
          <w:sz w:val="23"/>
        </w:rPr>
        <w:t>Engines and tools</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800"/>
            <w:shd w:fill="162F7A"/>
            <w:tcBorders>
              <w:top w:val="single" w:sz="6" w:space="0" w:color="162F7A"/>
              <w:left w:val="single" w:sz="6" w:space="0" w:color="162F7A"/>
              <w:bottom w:val="single" w:sz="6" w:space="0" w:color="162F7A"/>
              <w:right w:val="single" w:sz="6" w:space="0" w:color="162F7A"/>
            </w:tcBorders>
            <w:tcMar>
              <w:top w:w="85" w:type="dxa"/>
              <w:start w:w="95" w:type="dxa"/>
              <w:bottom w:w="85" w:type="dxa"/>
              <w:end w:w="95" w:type="dxa"/>
            </w:tcMar>
            <w:vAlign w:val="center"/>
          </w:tcPr>
          <w:p>
            <w:pPr>
              <w:keepNext w:val="0"/>
              <w:spacing w:before="0" w:after="0" w:line="240" w:lineRule="auto"/>
              <w:jc w:val="left"/>
            </w:pPr>
            <w:r>
              <w:rPr>
                <w:rFonts w:ascii="Arial" w:hAnsi="Arial" w:eastAsia="Arial"/>
                <w:b/>
                <w:i w:val="0"/>
                <w:color w:val="FFFFFF"/>
                <w:sz w:val="15"/>
              </w:rPr>
              <w:t>Component</w:t>
            </w:r>
          </w:p>
        </w:tc>
        <w:tc>
          <w:tcPr>
            <w:tcW w:type="dxa" w:w="4680"/>
            <w:shd w:fill="162F7A"/>
            <w:tcBorders>
              <w:top w:val="single" w:sz="6" w:space="0" w:color="162F7A"/>
              <w:left w:val="single" w:sz="6" w:space="0" w:color="162F7A"/>
              <w:bottom w:val="single" w:sz="6" w:space="0" w:color="162F7A"/>
              <w:right w:val="single" w:sz="6" w:space="0" w:color="162F7A"/>
            </w:tcBorders>
            <w:tcMar>
              <w:top w:w="85" w:type="dxa"/>
              <w:start w:w="95" w:type="dxa"/>
              <w:bottom w:w="85" w:type="dxa"/>
              <w:end w:w="95" w:type="dxa"/>
            </w:tcMar>
            <w:vAlign w:val="center"/>
          </w:tcPr>
          <w:p>
            <w:pPr>
              <w:keepNext w:val="0"/>
              <w:spacing w:before="0" w:after="0" w:line="240" w:lineRule="auto"/>
              <w:jc w:val="left"/>
            </w:pPr>
            <w:r>
              <w:rPr>
                <w:rFonts w:ascii="Arial" w:hAnsi="Arial" w:eastAsia="Arial"/>
                <w:b/>
                <w:i w:val="0"/>
                <w:color w:val="FFFFFF"/>
                <w:sz w:val="15"/>
              </w:rPr>
              <w:t>What it measures well</w:t>
            </w:r>
          </w:p>
        </w:tc>
        <w:tc>
          <w:tcPr>
            <w:tcW w:type="dxa" w:w="3671"/>
            <w:shd w:fill="162F7A"/>
            <w:tcBorders>
              <w:top w:val="single" w:sz="6" w:space="0" w:color="162F7A"/>
              <w:left w:val="single" w:sz="6" w:space="0" w:color="162F7A"/>
              <w:bottom w:val="single" w:sz="6" w:space="0" w:color="162F7A"/>
              <w:right w:val="single" w:sz="6" w:space="0" w:color="162F7A"/>
            </w:tcBorders>
            <w:tcMar>
              <w:top w:w="85" w:type="dxa"/>
              <w:start w:w="95" w:type="dxa"/>
              <w:bottom w:w="85" w:type="dxa"/>
              <w:end w:w="95" w:type="dxa"/>
            </w:tcMar>
            <w:vAlign w:val="center"/>
          </w:tcPr>
          <w:p>
            <w:pPr>
              <w:keepNext w:val="0"/>
              <w:spacing w:before="0" w:after="0" w:line="240" w:lineRule="auto"/>
              <w:jc w:val="left"/>
            </w:pPr>
            <w:r>
              <w:rPr>
                <w:rFonts w:ascii="Arial" w:hAnsi="Arial" w:eastAsia="Arial"/>
                <w:b/>
                <w:i w:val="0"/>
                <w:color w:val="FFFFFF"/>
                <w:sz w:val="15"/>
              </w:rPr>
              <w:t>Do not use it to claim</w:t>
            </w:r>
          </w:p>
        </w:tc>
      </w:tr>
      <w:tr>
        <w:trPr>
          <w:cantSplit/>
        </w:trPr>
        <w:tc>
          <w:tcPr>
            <w:tcW w:type="dxa" w:w="1800"/>
            <w:shd w:fill="FFFFFF"/>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5"/>
              </w:rPr>
              <w:t>llama.cpp + GGUF</w:t>
            </w:r>
          </w:p>
        </w:tc>
        <w:tc>
          <w:tcPr>
            <w:tcW w:type="dxa" w:w="4680"/>
            <w:shd w:fill="FFFFFF"/>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5"/>
              </w:rPr>
              <w:t>Controlled CPU inference with Qwen2.5 1.5B, 7B, and 14B Q4_K_M; quantization and explicit thread-control experiments</w:t>
            </w:r>
          </w:p>
        </w:tc>
        <w:tc>
          <w:tcPr>
            <w:tcW w:type="dxa" w:w="3671"/>
            <w:shd w:fill="FFFFFF"/>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5"/>
              </w:rPr>
              <w:t>That a native microbenchmark equals user-visible serving latency</w:t>
            </w:r>
          </w:p>
        </w:tc>
      </w:tr>
      <w:tr>
        <w:trPr>
          <w:cantSplit/>
        </w:trPr>
        <w:tc>
          <w:tcPr>
            <w:tcW w:type="dxa" w:w="1800"/>
            <w:shd w:fill="F2F4F7"/>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5"/>
              </w:rPr>
              <w:t>CPU vLLM + BF16</w:t>
            </w:r>
          </w:p>
        </w:tc>
        <w:tc>
          <w:tcPr>
            <w:tcW w:type="dxa" w:w="4680"/>
            <w:shd w:fill="F2F4F7"/>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5"/>
              </w:rPr>
              <w:t>Serving scheduler, context length, KV-cache, sequence limits, TTFT/TPOT, and throughput for Qwen2.5 1.5B or 7B</w:t>
            </w:r>
          </w:p>
        </w:tc>
        <w:tc>
          <w:tcPr>
            <w:tcW w:type="dxa" w:w="3671"/>
            <w:shd w:fill="F2F4F7"/>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5"/>
              </w:rPr>
              <w:t>Direct equivalence to a different engine, model format, or quantization</w:t>
            </w:r>
          </w:p>
        </w:tc>
      </w:tr>
      <w:tr>
        <w:trPr>
          <w:cantSplit/>
        </w:trPr>
        <w:tc>
          <w:tcPr>
            <w:tcW w:type="dxa" w:w="1800"/>
            <w:shd w:fill="FFFFFF"/>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5"/>
              </w:rPr>
              <w:t>HTTP streaming harness</w:t>
            </w:r>
          </w:p>
        </w:tc>
        <w:tc>
          <w:tcPr>
            <w:tcW w:type="dxa" w:w="4680"/>
            <w:shd w:fill="FFFFFF"/>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5"/>
              </w:rPr>
              <w:t>Client-observed TTFT, approximate ITL, E2E latency, request/s, and approximate output tokens/s over the app’s private tunnel</w:t>
            </w:r>
          </w:p>
        </w:tc>
        <w:tc>
          <w:tcPr>
            <w:tcW w:type="dxa" w:w="3671"/>
            <w:shd w:fill="FFFFFF"/>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5"/>
              </w:rPr>
              <w:t>A no-network engine microbenchmark</w:t>
            </w:r>
          </w:p>
        </w:tc>
      </w:tr>
      <w:tr>
        <w:trPr>
          <w:cantSplit/>
        </w:trPr>
        <w:tc>
          <w:tcPr>
            <w:tcW w:type="dxa" w:w="1800"/>
            <w:shd w:fill="F2F4F7"/>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5"/>
              </w:rPr>
              <w:t>llama-bench</w:t>
            </w:r>
          </w:p>
        </w:tc>
        <w:tc>
          <w:tcPr>
            <w:tcW w:type="dxa" w:w="4680"/>
            <w:shd w:fill="F2F4F7"/>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5"/>
              </w:rPr>
              <w:t>Native llama.cpp prompt/decode microbenchmark; repeatable worker-thread and model-file efficiency</w:t>
            </w:r>
          </w:p>
        </w:tc>
        <w:tc>
          <w:tcPr>
            <w:tcW w:type="dxa" w:w="3671"/>
            <w:shd w:fill="F2F4F7"/>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5"/>
              </w:rPr>
              <w:t>Network TTFT or a production end-to-end SLA</w:t>
            </w:r>
          </w:p>
        </w:tc>
      </w:tr>
      <w:tr>
        <w:trPr>
          <w:cantSplit/>
        </w:trPr>
        <w:tc>
          <w:tcPr>
            <w:tcW w:type="dxa" w:w="1800"/>
            <w:shd w:fill="FFFFFF"/>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5"/>
              </w:rPr>
              <w:t>vLLM bench serve</w:t>
            </w:r>
          </w:p>
        </w:tc>
        <w:tc>
          <w:tcPr>
            <w:tcW w:type="dxa" w:w="4680"/>
            <w:shd w:fill="FFFFFF"/>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5"/>
              </w:rPr>
              <w:t>Serving-side TTFT, TPOT/ITL, and throughput for a vLLM endpoint</w:t>
            </w:r>
          </w:p>
        </w:tc>
        <w:tc>
          <w:tcPr>
            <w:tcW w:type="dxa" w:w="3671"/>
            <w:shd w:fill="FFFFFF"/>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5"/>
              </w:rPr>
              <w:t>A llama.cpp engine comparison without matching the serving boundary</w:t>
            </w:r>
          </w:p>
        </w:tc>
      </w:tr>
      <w:tr>
        <w:trPr>
          <w:cantSplit/>
        </w:trPr>
        <w:tc>
          <w:tcPr>
            <w:tcW w:type="dxa" w:w="1800"/>
            <w:shd w:fill="F2F4F7"/>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5"/>
              </w:rPr>
              <w:t>Prometheus + Grafana</w:t>
            </w:r>
          </w:p>
        </w:tc>
        <w:tc>
          <w:tcPr>
            <w:tcW w:type="dxa" w:w="4680"/>
            <w:shd w:fill="F2F4F7"/>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5"/>
              </w:rPr>
              <w:t>Queue, cache, ready pods, request load, and latency correlation in LLM-D experiments</w:t>
            </w:r>
          </w:p>
        </w:tc>
        <w:tc>
          <w:tcPr>
            <w:tcW w:type="dxa" w:w="3671"/>
            <w:shd w:fill="F2F4F7"/>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5"/>
              </w:rPr>
              <w:t>A replacement for raw benchmark output or controlled paired runs</w:t>
            </w:r>
          </w:p>
        </w:tc>
      </w:tr>
    </w:tbl>
    <w:p>
      <w:pPr>
        <w:spacing w:after="0"/>
      </w:pPr>
    </w:p>
    <w:p>
      <w:r>
        <w:br w:type="page"/>
      </w:r>
    </w:p>
    <w:p>
      <w:pPr>
        <w:keepNext/>
        <w:spacing w:before="0" w:after="60" w:line="259" w:lineRule="auto"/>
        <w:jc w:val="left"/>
      </w:pPr>
      <w:r>
        <w:rPr>
          <w:rFonts w:ascii="Arial" w:hAnsi="Arial" w:eastAsia="Arial"/>
          <w:b/>
          <w:i w:val="0"/>
          <w:color w:val="2F75B5"/>
          <w:sz w:val="18"/>
        </w:rPr>
        <w:t>05  CONTROLS</w:t>
      </w:r>
    </w:p>
    <w:p>
      <w:pPr>
        <w:keepNext/>
        <w:spacing w:before="0" w:after="160" w:line="240" w:lineRule="auto"/>
        <w:jc w:val="left"/>
      </w:pPr>
      <w:r>
        <w:rPr>
          <w:rFonts w:ascii="Arial" w:hAnsi="Arial" w:eastAsia="Arial"/>
          <w:b/>
          <w:i w:val="0"/>
          <w:color w:val="162F7A"/>
          <w:sz w:val="36"/>
        </w:rPr>
        <w:t>How each test stays credible</w:t>
      </w:r>
    </w:p>
    <w:p>
      <w:pPr>
        <w:keepNext w:val="0"/>
        <w:spacing w:before="0" w:after="160" w:line="264" w:lineRule="auto"/>
        <w:jc w:val="left"/>
      </w:pPr>
      <w:r>
        <w:rPr>
          <w:rFonts w:ascii="Arial" w:hAnsi="Arial" w:eastAsia="Arial"/>
          <w:b w:val="0"/>
          <w:i w:val="0"/>
          <w:color w:val="1F2933"/>
          <w:sz w:val="20"/>
        </w:rPr>
        <w:t>A useful comparison records what changed, what was held constant, and which result would invalidate the run. The worksheet captures these controls before execution and stores raw outputs locally, outside version control.</w:t>
      </w:r>
    </w:p>
    <w:p>
      <w:pPr>
        <w:keepNext w:val="0"/>
        <w:spacing w:before="0" w:after="140" w:line="240" w:lineRule="auto"/>
        <w:pBdr>
          <w:bottom w:val="single" w:sz="10" w:space="1" w:color="2F75B5"/>
        </w:pBdr>
      </w:pPr>
    </w:p>
    <w:p>
      <w:pPr>
        <w:keepNext/>
        <w:spacing w:before="160" w:after="80" w:line="240" w:lineRule="auto"/>
        <w:jc w:val="left"/>
      </w:pPr>
      <w:r>
        <w:rPr>
          <w:rFonts w:ascii="Arial" w:hAnsi="Arial" w:eastAsia="Arial"/>
          <w:b/>
          <w:i w:val="0"/>
          <w:color w:val="162F7A"/>
          <w:sz w:val="23"/>
        </w:rPr>
        <w:t>Run record — required for every paired comparison</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728"/>
            <w:shd w:fill="162F7A"/>
            <w:tcBorders>
              <w:top w:val="single" w:sz="6" w:space="0" w:color="162F7A"/>
              <w:left w:val="single" w:sz="6" w:space="0" w:color="162F7A"/>
              <w:bottom w:val="single" w:sz="6" w:space="0" w:color="162F7A"/>
              <w:right w:val="single" w:sz="6" w:space="0" w:color="162F7A"/>
            </w:tcBorders>
            <w:tcMar>
              <w:top w:w="85" w:type="dxa"/>
              <w:start w:w="95" w:type="dxa"/>
              <w:bottom w:w="85" w:type="dxa"/>
              <w:end w:w="95" w:type="dxa"/>
            </w:tcMar>
            <w:vAlign w:val="center"/>
          </w:tcPr>
          <w:p>
            <w:pPr>
              <w:keepNext w:val="0"/>
              <w:spacing w:before="0" w:after="0" w:line="240" w:lineRule="auto"/>
              <w:jc w:val="left"/>
            </w:pPr>
            <w:r>
              <w:rPr>
                <w:rFonts w:ascii="Arial" w:hAnsi="Arial" w:eastAsia="Arial"/>
                <w:b/>
                <w:i w:val="0"/>
                <w:color w:val="FFFFFF"/>
                <w:sz w:val="16"/>
              </w:rPr>
              <w:t>Control group</w:t>
            </w:r>
          </w:p>
        </w:tc>
        <w:tc>
          <w:tcPr>
            <w:tcW w:type="dxa" w:w="5184"/>
            <w:shd w:fill="162F7A"/>
            <w:tcBorders>
              <w:top w:val="single" w:sz="6" w:space="0" w:color="162F7A"/>
              <w:left w:val="single" w:sz="6" w:space="0" w:color="162F7A"/>
              <w:bottom w:val="single" w:sz="6" w:space="0" w:color="162F7A"/>
              <w:right w:val="single" w:sz="6" w:space="0" w:color="162F7A"/>
            </w:tcBorders>
            <w:tcMar>
              <w:top w:w="85" w:type="dxa"/>
              <w:start w:w="95" w:type="dxa"/>
              <w:bottom w:w="85" w:type="dxa"/>
              <w:end w:w="95" w:type="dxa"/>
            </w:tcMar>
            <w:vAlign w:val="center"/>
          </w:tcPr>
          <w:p>
            <w:pPr>
              <w:keepNext w:val="0"/>
              <w:spacing w:before="0" w:after="0" w:line="240" w:lineRule="auto"/>
              <w:jc w:val="left"/>
            </w:pPr>
            <w:r>
              <w:rPr>
                <w:rFonts w:ascii="Arial" w:hAnsi="Arial" w:eastAsia="Arial"/>
                <w:b/>
                <w:i w:val="0"/>
                <w:color w:val="FFFFFF"/>
                <w:sz w:val="16"/>
              </w:rPr>
              <w:t>Record</w:t>
            </w:r>
          </w:p>
        </w:tc>
        <w:tc>
          <w:tcPr>
            <w:tcW w:type="dxa" w:w="3240"/>
            <w:shd w:fill="162F7A"/>
            <w:tcBorders>
              <w:top w:val="single" w:sz="6" w:space="0" w:color="162F7A"/>
              <w:left w:val="single" w:sz="6" w:space="0" w:color="162F7A"/>
              <w:bottom w:val="single" w:sz="6" w:space="0" w:color="162F7A"/>
              <w:right w:val="single" w:sz="6" w:space="0" w:color="162F7A"/>
            </w:tcBorders>
            <w:tcMar>
              <w:top w:w="85" w:type="dxa"/>
              <w:start w:w="95" w:type="dxa"/>
              <w:bottom w:w="85" w:type="dxa"/>
              <w:end w:w="95" w:type="dxa"/>
            </w:tcMar>
            <w:vAlign w:val="center"/>
          </w:tcPr>
          <w:p>
            <w:pPr>
              <w:keepNext w:val="0"/>
              <w:spacing w:before="0" w:after="0" w:line="240" w:lineRule="auto"/>
              <w:jc w:val="left"/>
            </w:pPr>
            <w:r>
              <w:rPr>
                <w:rFonts w:ascii="Arial" w:hAnsi="Arial" w:eastAsia="Arial"/>
                <w:b/>
                <w:i w:val="0"/>
                <w:color w:val="FFFFFF"/>
                <w:sz w:val="16"/>
              </w:rPr>
              <w:t>Why it matters</w:t>
            </w:r>
          </w:p>
        </w:tc>
      </w:tr>
      <w:tr>
        <w:trPr>
          <w:cantSplit/>
        </w:trPr>
        <w:tc>
          <w:tcPr>
            <w:tcW w:type="dxa" w:w="1728"/>
            <w:shd w:fill="FFFFFF"/>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6"/>
              </w:rPr>
              <w:t>Infrastructure</w:t>
            </w:r>
          </w:p>
        </w:tc>
        <w:tc>
          <w:tcPr>
            <w:tcW w:type="dxa" w:w="5184"/>
            <w:shd w:fill="FFFFFF"/>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6"/>
              </w:rPr>
              <w:t>OCI shape, OCPUs, memory, region/AD where relevant; `nproc`, `lscpu`, and NUMA/topology snapshot</w:t>
            </w:r>
          </w:p>
        </w:tc>
        <w:tc>
          <w:tcPr>
            <w:tcW w:type="dxa" w:w="3240"/>
            <w:shd w:fill="FFFFFF"/>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6"/>
              </w:rPr>
              <w:t>Shows the actual CPU capacity and detects an unmatched placement/configuration</w:t>
            </w:r>
          </w:p>
        </w:tc>
      </w:tr>
      <w:tr>
        <w:trPr>
          <w:cantSplit/>
        </w:trPr>
        <w:tc>
          <w:tcPr>
            <w:tcW w:type="dxa" w:w="1728"/>
            <w:shd w:fill="F2F4F7"/>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6"/>
              </w:rPr>
              <w:t>Model and engine</w:t>
            </w:r>
          </w:p>
        </w:tc>
        <w:tc>
          <w:tcPr>
            <w:tcW w:type="dxa" w:w="5184"/>
            <w:shd w:fill="F2F4F7"/>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6"/>
              </w:rPr>
              <w:t>Exact model/revision or GGUF file, quantization, engine version, build mode, and CPU feature switches</w:t>
            </w:r>
          </w:p>
        </w:tc>
        <w:tc>
          <w:tcPr>
            <w:tcW w:type="dxa" w:w="3240"/>
            <w:shd w:fill="F2F4F7"/>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6"/>
              </w:rPr>
              <w:t>Avoids calling a model-format or build difference a hardware result</w:t>
            </w:r>
          </w:p>
        </w:tc>
      </w:tr>
      <w:tr>
        <w:trPr>
          <w:cantSplit/>
        </w:trPr>
        <w:tc>
          <w:tcPr>
            <w:tcW w:type="dxa" w:w="1728"/>
            <w:shd w:fill="FFFFFF"/>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6"/>
              </w:rPr>
              <w:t>Server</w:t>
            </w:r>
          </w:p>
        </w:tc>
        <w:tc>
          <w:tcPr>
            <w:tcW w:type="dxa" w:w="5184"/>
            <w:shd w:fill="FFFFFF"/>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6"/>
              </w:rPr>
              <w:t>Generation and prefill threads, context size, parallel slots, batch size, micro-batch size, sequence limits, and health status</w:t>
            </w:r>
          </w:p>
        </w:tc>
        <w:tc>
          <w:tcPr>
            <w:tcW w:type="dxa" w:w="3240"/>
            <w:shd w:fill="FFFFFF"/>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6"/>
              </w:rPr>
              <w:t>Separates CPU-worker behavior from request capacity and batching behavior</w:t>
            </w:r>
          </w:p>
        </w:tc>
      </w:tr>
      <w:tr>
        <w:trPr>
          <w:cantSplit/>
        </w:trPr>
        <w:tc>
          <w:tcPr>
            <w:tcW w:type="dxa" w:w="1728"/>
            <w:shd w:fill="F2F4F7"/>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6"/>
              </w:rPr>
              <w:t>Workload</w:t>
            </w:r>
          </w:p>
        </w:tc>
        <w:tc>
          <w:tcPr>
            <w:tcW w:type="dxa" w:w="5184"/>
            <w:shd w:fill="F2F4F7"/>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6"/>
              </w:rPr>
              <w:t>Named prompt set, input/output targets, request count, concurrency, cache state, warm-up rule, and repetitions</w:t>
            </w:r>
          </w:p>
        </w:tc>
        <w:tc>
          <w:tcPr>
            <w:tcW w:type="dxa" w:w="3240"/>
            <w:shd w:fill="F2F4F7"/>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6"/>
              </w:rPr>
              <w:t>Makes prefill, decode, cache, and saturation results reproducible</w:t>
            </w:r>
          </w:p>
        </w:tc>
      </w:tr>
      <w:tr>
        <w:trPr>
          <w:cantSplit/>
        </w:trPr>
        <w:tc>
          <w:tcPr>
            <w:tcW w:type="dxa" w:w="1728"/>
            <w:shd w:fill="FFFFFF"/>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6"/>
              </w:rPr>
              <w:t>Evidence</w:t>
            </w:r>
          </w:p>
        </w:tc>
        <w:tc>
          <w:tcPr>
            <w:tcW w:type="dxa" w:w="5184"/>
            <w:shd w:fill="FFFFFF"/>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6"/>
              </w:rPr>
              <w:t>Raw machine-readable result, timestamps, completion/errors, and median/p95 calculation</w:t>
            </w:r>
          </w:p>
        </w:tc>
        <w:tc>
          <w:tcPr>
            <w:tcW w:type="dxa" w:w="3240"/>
            <w:shd w:fill="FFFFFF"/>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6"/>
              </w:rPr>
              <w:t>Ensures an outlier or failed run is not silently used as an outcome</w:t>
            </w:r>
          </w:p>
        </w:tc>
      </w:tr>
    </w:tbl>
    <w:p>
      <w:pPr>
        <w:spacing w:after="0"/>
      </w:pPr>
    </w:p>
    <w:p>
      <w:pPr>
        <w:keepNext/>
        <w:spacing w:before="160" w:after="80" w:line="240" w:lineRule="auto"/>
        <w:jc w:val="left"/>
      </w:pPr>
      <w:r>
        <w:rPr>
          <w:rFonts w:ascii="Arial" w:hAnsi="Arial" w:eastAsia="Arial"/>
          <w:b/>
          <w:i w:val="0"/>
          <w:color w:val="162F7A"/>
          <w:sz w:val="23"/>
        </w:rPr>
        <w:t>Fair-comparison protocol</w:t>
      </w:r>
    </w:p>
    <w:p>
      <w:pPr>
        <w:keepNext w:val="0"/>
        <w:spacing w:before="0" w:after="60" w:line="250" w:lineRule="auto"/>
        <w:ind w:left="259" w:hanging="202"/>
      </w:pPr>
      <w:r>
        <w:rPr>
          <w:rFonts w:ascii="Arial" w:hAnsi="Arial" w:eastAsia="Arial"/>
          <w:b/>
          <w:i w:val="0"/>
          <w:color w:val="162F7A"/>
          <w:sz w:val="19"/>
        </w:rPr>
        <w:t>• Deploy and verify both sides first.</w:t>
      </w:r>
      <w:r>
        <w:rPr>
          <w:rFonts w:ascii="Arial" w:hAnsi="Arial" w:eastAsia="Arial"/>
          <w:b w:val="0"/>
          <w:i w:val="0"/>
          <w:color w:val="1F2933"/>
          <w:sz w:val="19"/>
        </w:rPr>
        <w:t>Both servers must be RUNNING, healthy, reachable through their private endpoint, and using the recorded configuration before a matched test starts.</w:t>
      </w:r>
    </w:p>
    <w:p>
      <w:pPr>
        <w:keepNext w:val="0"/>
        <w:spacing w:before="0" w:after="60" w:line="250" w:lineRule="auto"/>
        <w:ind w:left="259" w:hanging="202"/>
      </w:pPr>
      <w:r>
        <w:rPr>
          <w:rFonts w:ascii="Arial" w:hAnsi="Arial" w:eastAsia="Arial"/>
          <w:b/>
          <w:i w:val="0"/>
          <w:color w:val="162F7A"/>
          <w:sz w:val="19"/>
        </w:rPr>
        <w:t>• Warm up only when the workload calls for it.</w:t>
      </w:r>
      <w:r>
        <w:rPr>
          <w:rFonts w:ascii="Arial" w:hAnsi="Arial" w:eastAsia="Arial"/>
          <w:b w:val="0"/>
          <w:i w:val="0"/>
          <w:color w:val="1F2933"/>
          <w:sz w:val="19"/>
        </w:rPr>
        <w:t>For cold unique tests, disable prompt cache or ensure the prompt set cannot reuse a prefix. For warm shared-context tests, prime once and exclude that prime from the measured set.</w:t>
      </w:r>
    </w:p>
    <w:p>
      <w:pPr>
        <w:keepNext w:val="0"/>
        <w:spacing w:before="0" w:after="60" w:line="250" w:lineRule="auto"/>
        <w:ind w:left="259" w:hanging="202"/>
      </w:pPr>
      <w:r>
        <w:rPr>
          <w:rFonts w:ascii="Arial" w:hAnsi="Arial" w:eastAsia="Arial"/>
          <w:b/>
          <w:i w:val="0"/>
          <w:color w:val="162F7A"/>
          <w:sz w:val="19"/>
        </w:rPr>
        <w:t>• Run complete pairs.</w:t>
      </w:r>
      <w:r>
        <w:rPr>
          <w:rFonts w:ascii="Arial" w:hAnsi="Arial" w:eastAsia="Arial"/>
          <w:b w:val="0"/>
          <w:i w:val="0"/>
          <w:color w:val="1F2933"/>
          <w:sz w:val="19"/>
        </w:rPr>
        <w:t>Run the same preset on baseline and candidate with the same request schedule. Exclude a pair if requests fail, the health check changes, or a configuration differs.</w:t>
      </w:r>
    </w:p>
    <w:p>
      <w:pPr>
        <w:keepNext w:val="0"/>
        <w:spacing w:before="0" w:after="60" w:line="250" w:lineRule="auto"/>
        <w:ind w:left="259" w:hanging="202"/>
      </w:pPr>
      <w:r>
        <w:rPr>
          <w:rFonts w:ascii="Arial" w:hAnsi="Arial" w:eastAsia="Arial"/>
          <w:b/>
          <w:i w:val="0"/>
          <w:color w:val="162F7A"/>
          <w:sz w:val="19"/>
        </w:rPr>
        <w:t>• Repeat before concluding.</w:t>
      </w:r>
      <w:r>
        <w:rPr>
          <w:rFonts w:ascii="Arial" w:hAnsi="Arial" w:eastAsia="Arial"/>
          <w:b w:val="0"/>
          <w:i w:val="0"/>
          <w:color w:val="1F2933"/>
          <w:sz w:val="19"/>
        </w:rPr>
        <w:t>Report medians and p95 from complete successful trials. A shared-VM result should be treated as directional until it persists across reruns or bare metal.</w:t>
      </w:r>
    </w:p>
    <w:tbl>
      <w:tblPr>
        <w:tblW w:type="auto" w:w="0"/>
        <w:tblLayout w:type="fixed"/>
        <w:tblLook w:firstColumn="1" w:firstRow="1" w:lastColumn="0" w:lastRow="0" w:noHBand="0" w:noVBand="1" w:val="04A0"/>
      </w:tblPr>
      <w:tblGrid>
        <w:gridCol w:w="10224"/>
      </w:tblGrid>
      <w:tr>
        <w:tc>
          <w:tcPr>
            <w:tcW w:type="dxa" w:w="10152"/>
            <w:shd w:fill="EAF3FB"/>
            <w:tcBorders>
              <w:top w:val="single" w:sz="8" w:space="0" w:color="8CB8DF"/>
              <w:left w:val="single" w:sz="8" w:space="0" w:color="8CB8DF"/>
              <w:bottom w:val="single" w:sz="8" w:space="0" w:color="8CB8DF"/>
              <w:right w:val="single" w:sz="8" w:space="0" w:color="8CB8DF"/>
            </w:tcBorders>
            <w:tcMar>
              <w:top w:w="110" w:type="dxa"/>
              <w:start w:w="135" w:type="dxa"/>
              <w:bottom w:w="110" w:type="dxa"/>
              <w:end w:w="135" w:type="dxa"/>
            </w:tcMar>
          </w:tcPr>
          <w:p>
            <w:pPr>
              <w:keepNext w:val="0"/>
              <w:spacing w:before="0" w:after="40" w:line="252" w:lineRule="auto"/>
            </w:pPr>
            <w:r>
              <w:rPr>
                <w:rFonts w:ascii="Arial" w:hAnsi="Arial" w:eastAsia="Arial"/>
                <w:b/>
                <w:i w:val="0"/>
                <w:color w:val="162F7A"/>
                <w:sz w:val="19"/>
              </w:rPr>
              <w:t xml:space="preserve">Security and hygiene  </w:t>
            </w:r>
            <w:r>
              <w:rPr>
                <w:rFonts w:ascii="Arial" w:hAnsi="Arial" w:eastAsia="Arial"/>
                <w:b w:val="0"/>
                <w:i w:val="0"/>
                <w:color w:val="1F2933"/>
                <w:sz w:val="19"/>
              </w:rPr>
              <w:t>Kubeconfig details, cluster IDs, instance IPs, SSH keys, Grafana credentials, and experiment raw files remain outside Git. The guide may link to a sanitized result summary, never to private endpoint or credential material.</w:t>
            </w:r>
          </w:p>
        </w:tc>
      </w:tr>
    </w:tbl>
    <w:p>
      <w:pPr>
        <w:spacing w:after="0"/>
      </w:pPr>
    </w:p>
    <w:p>
      <w:r>
        <w:br w:type="page"/>
      </w:r>
    </w:p>
    <w:p>
      <w:pPr>
        <w:keepNext/>
        <w:spacing w:before="0" w:after="60" w:line="259" w:lineRule="auto"/>
        <w:jc w:val="left"/>
      </w:pPr>
      <w:r>
        <w:rPr>
          <w:rFonts w:ascii="Arial" w:hAnsi="Arial" w:eastAsia="Arial"/>
          <w:b/>
          <w:i w:val="0"/>
          <w:color w:val="2F75B5"/>
          <w:sz w:val="18"/>
        </w:rPr>
        <w:t>06  INTERPRETATION</w:t>
      </w:r>
    </w:p>
    <w:p>
      <w:pPr>
        <w:keepNext/>
        <w:spacing w:before="0" w:after="160" w:line="240" w:lineRule="auto"/>
        <w:jc w:val="left"/>
      </w:pPr>
      <w:r>
        <w:rPr>
          <w:rFonts w:ascii="Arial" w:hAnsi="Arial" w:eastAsia="Arial"/>
          <w:b/>
          <w:i w:val="0"/>
          <w:color w:val="162F7A"/>
          <w:sz w:val="36"/>
        </w:rPr>
        <w:t>Expected signals and decision rules</w:t>
      </w:r>
    </w:p>
    <w:p>
      <w:pPr>
        <w:keepNext w:val="0"/>
        <w:spacing w:before="0" w:after="160" w:line="264" w:lineRule="auto"/>
        <w:jc w:val="left"/>
      </w:pPr>
      <w:r>
        <w:rPr>
          <w:rFonts w:ascii="Arial" w:hAnsi="Arial" w:eastAsia="Arial"/>
          <w:b w:val="0"/>
          <w:i w:val="0"/>
          <w:color w:val="1F2933"/>
          <w:sz w:val="20"/>
        </w:rPr>
        <w:t>The outcome of each workload is a decision signal—not simply a bigger or smaller number. This page keeps the conclusion proportional to what the experiment actually exercised.</w:t>
      </w:r>
    </w:p>
    <w:p>
      <w:pPr>
        <w:keepNext w:val="0"/>
        <w:spacing w:before="0" w:after="140" w:line="240" w:lineRule="auto"/>
        <w:pBdr>
          <w:bottom w:val="single" w:sz="10" w:space="1" w:color="2F75B5"/>
        </w:pBdr>
      </w:pP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915"/>
            <w:shd w:fill="162F7A"/>
            <w:tcBorders>
              <w:top w:val="single" w:sz="6" w:space="0" w:color="162F7A"/>
              <w:left w:val="single" w:sz="6" w:space="0" w:color="162F7A"/>
              <w:bottom w:val="single" w:sz="6" w:space="0" w:color="162F7A"/>
              <w:right w:val="single" w:sz="6" w:space="0" w:color="162F7A"/>
            </w:tcBorders>
            <w:tcMar>
              <w:top w:w="85" w:type="dxa"/>
              <w:start w:w="95" w:type="dxa"/>
              <w:bottom w:w="85" w:type="dxa"/>
              <w:end w:w="95" w:type="dxa"/>
            </w:tcMar>
            <w:vAlign w:val="center"/>
          </w:tcPr>
          <w:p>
            <w:pPr>
              <w:keepNext w:val="0"/>
              <w:spacing w:before="0" w:after="0" w:line="240" w:lineRule="auto"/>
              <w:jc w:val="left"/>
            </w:pPr>
            <w:r>
              <w:rPr>
                <w:rFonts w:ascii="Arial" w:hAnsi="Arial" w:eastAsia="Arial"/>
                <w:b/>
                <w:i w:val="0"/>
                <w:color w:val="FFFFFF"/>
                <w:sz w:val="15"/>
              </w:rPr>
              <w:t>If this changes</w:t>
            </w:r>
          </w:p>
        </w:tc>
        <w:tc>
          <w:tcPr>
            <w:tcW w:type="dxa" w:w="2232"/>
            <w:shd w:fill="162F7A"/>
            <w:tcBorders>
              <w:top w:val="single" w:sz="6" w:space="0" w:color="162F7A"/>
              <w:left w:val="single" w:sz="6" w:space="0" w:color="162F7A"/>
              <w:bottom w:val="single" w:sz="6" w:space="0" w:color="162F7A"/>
              <w:right w:val="single" w:sz="6" w:space="0" w:color="162F7A"/>
            </w:tcBorders>
            <w:tcMar>
              <w:top w:w="85" w:type="dxa"/>
              <w:start w:w="95" w:type="dxa"/>
              <w:bottom w:w="85" w:type="dxa"/>
              <w:end w:w="95" w:type="dxa"/>
            </w:tcMar>
            <w:vAlign w:val="center"/>
          </w:tcPr>
          <w:p>
            <w:pPr>
              <w:keepNext w:val="0"/>
              <w:spacing w:before="0" w:after="0" w:line="240" w:lineRule="auto"/>
              <w:jc w:val="left"/>
            </w:pPr>
            <w:r>
              <w:rPr>
                <w:rFonts w:ascii="Arial" w:hAnsi="Arial" w:eastAsia="Arial"/>
                <w:b/>
                <w:i w:val="0"/>
                <w:color w:val="FFFFFF"/>
                <w:sz w:val="15"/>
              </w:rPr>
              <w:t>Expect this signal</w:t>
            </w:r>
          </w:p>
        </w:tc>
        <w:tc>
          <w:tcPr>
            <w:tcW w:type="dxa" w:w="3052"/>
            <w:shd w:fill="162F7A"/>
            <w:tcBorders>
              <w:top w:val="single" w:sz="6" w:space="0" w:color="162F7A"/>
              <w:left w:val="single" w:sz="6" w:space="0" w:color="162F7A"/>
              <w:bottom w:val="single" w:sz="6" w:space="0" w:color="162F7A"/>
              <w:right w:val="single" w:sz="6" w:space="0" w:color="162F7A"/>
            </w:tcBorders>
            <w:tcMar>
              <w:top w:w="85" w:type="dxa"/>
              <w:start w:w="95" w:type="dxa"/>
              <w:bottom w:w="85" w:type="dxa"/>
              <w:end w:w="95" w:type="dxa"/>
            </w:tcMar>
            <w:vAlign w:val="center"/>
          </w:tcPr>
          <w:p>
            <w:pPr>
              <w:keepNext w:val="0"/>
              <w:spacing w:before="0" w:after="0" w:line="240" w:lineRule="auto"/>
              <w:jc w:val="left"/>
            </w:pPr>
            <w:r>
              <w:rPr>
                <w:rFonts w:ascii="Arial" w:hAnsi="Arial" w:eastAsia="Arial"/>
                <w:b/>
                <w:i w:val="0"/>
                <w:color w:val="FFFFFF"/>
                <w:sz w:val="15"/>
              </w:rPr>
              <w:t>The conclusion it can support</w:t>
            </w:r>
          </w:p>
        </w:tc>
        <w:tc>
          <w:tcPr>
            <w:tcW w:type="dxa" w:w="2951"/>
            <w:shd w:fill="162F7A"/>
            <w:tcBorders>
              <w:top w:val="single" w:sz="6" w:space="0" w:color="162F7A"/>
              <w:left w:val="single" w:sz="6" w:space="0" w:color="162F7A"/>
              <w:bottom w:val="single" w:sz="6" w:space="0" w:color="162F7A"/>
              <w:right w:val="single" w:sz="6" w:space="0" w:color="162F7A"/>
            </w:tcBorders>
            <w:tcMar>
              <w:top w:w="85" w:type="dxa"/>
              <w:start w:w="95" w:type="dxa"/>
              <w:bottom w:w="85" w:type="dxa"/>
              <w:end w:w="95" w:type="dxa"/>
            </w:tcMar>
            <w:vAlign w:val="center"/>
          </w:tcPr>
          <w:p>
            <w:pPr>
              <w:keepNext w:val="0"/>
              <w:spacing w:before="0" w:after="0" w:line="240" w:lineRule="auto"/>
              <w:jc w:val="left"/>
            </w:pPr>
            <w:r>
              <w:rPr>
                <w:rFonts w:ascii="Arial" w:hAnsi="Arial" w:eastAsia="Arial"/>
                <w:b/>
                <w:i w:val="0"/>
                <w:color w:val="FFFFFF"/>
                <w:sz w:val="15"/>
              </w:rPr>
              <w:t>What to check before claiming hardware</w:t>
            </w:r>
          </w:p>
        </w:tc>
      </w:tr>
      <w:tr>
        <w:trPr>
          <w:cantSplit/>
        </w:trPr>
        <w:tc>
          <w:tcPr>
            <w:tcW w:type="dxa" w:w="1915"/>
            <w:shd w:fill="FFFFFF"/>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5"/>
              </w:rPr>
              <w:t>Long unique input, cache disabled</w:t>
            </w:r>
          </w:p>
        </w:tc>
        <w:tc>
          <w:tcPr>
            <w:tcW w:type="dxa" w:w="2232"/>
            <w:shd w:fill="FFFFFF"/>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5"/>
              </w:rPr>
              <w:t>TTFT and prompt-processing time move; queue remains quiet at concurrency 1</w:t>
            </w:r>
          </w:p>
        </w:tc>
        <w:tc>
          <w:tcPr>
            <w:tcW w:type="dxa" w:w="3052"/>
            <w:shd w:fill="FFFFFF"/>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5"/>
              </w:rPr>
              <w:t>Relative cold-prefill efficiency for the matched engine/model</w:t>
            </w:r>
          </w:p>
        </w:tc>
        <w:tc>
          <w:tcPr>
            <w:tcW w:type="dxa" w:w="2951"/>
            <w:shd w:fill="FFFFFF"/>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5"/>
              </w:rPr>
              <w:t>Prompt tokens really unique; same output target; server threads and cache state matched</w:t>
            </w:r>
          </w:p>
        </w:tc>
      </w:tr>
      <w:tr>
        <w:trPr>
          <w:cantSplit/>
        </w:trPr>
        <w:tc>
          <w:tcPr>
            <w:tcW w:type="dxa" w:w="1915"/>
            <w:shd w:fill="F2F4F7"/>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5"/>
              </w:rPr>
              <w:t>Shared prefix, cache enabled</w:t>
            </w:r>
          </w:p>
        </w:tc>
        <w:tc>
          <w:tcPr>
            <w:tcW w:type="dxa" w:w="2232"/>
            <w:shd w:fill="F2F4F7"/>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5"/>
              </w:rPr>
              <w:t>Cache-hit rate rises and later-request TTFT falls</w:t>
            </w:r>
          </w:p>
        </w:tc>
        <w:tc>
          <w:tcPr>
            <w:tcW w:type="dxa" w:w="3052"/>
            <w:shd w:fill="F2F4F7"/>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5"/>
              </w:rPr>
              <w:t>The serving stack benefits from reuse for shared-context use cases</w:t>
            </w:r>
          </w:p>
        </w:tc>
        <w:tc>
          <w:tcPr>
            <w:tcW w:type="dxa" w:w="2951"/>
            <w:shd w:fill="F2F4F7"/>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5"/>
              </w:rPr>
              <w:t>Prime excluded; prefix actually identical; do not equate with raw decode speed</w:t>
            </w:r>
          </w:p>
        </w:tc>
      </w:tr>
      <w:tr>
        <w:trPr>
          <w:cantSplit/>
        </w:trPr>
        <w:tc>
          <w:tcPr>
            <w:tcW w:type="dxa" w:w="1915"/>
            <w:shd w:fill="FFFFFF"/>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5"/>
              </w:rPr>
              <w:t>Short prompt, long output</w:t>
            </w:r>
          </w:p>
        </w:tc>
        <w:tc>
          <w:tcPr>
            <w:tcW w:type="dxa" w:w="2232"/>
            <w:shd w:fill="FFFFFF"/>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5"/>
              </w:rPr>
              <w:t>ITL/TPOT and output tok/s move more than TTFT</w:t>
            </w:r>
          </w:p>
        </w:tc>
        <w:tc>
          <w:tcPr>
            <w:tcW w:type="dxa" w:w="3052"/>
            <w:shd w:fill="FFFFFF"/>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5"/>
              </w:rPr>
              <w:t>Relative generation/decode efficiency at low contention</w:t>
            </w:r>
          </w:p>
        </w:tc>
        <w:tc>
          <w:tcPr>
            <w:tcW w:type="dxa" w:w="2951"/>
            <w:shd w:fill="FFFFFF"/>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5"/>
              </w:rPr>
              <w:t>Same context, output cap, engine scheduler, and thread settings</w:t>
            </w:r>
          </w:p>
        </w:tc>
      </w:tr>
      <w:tr>
        <w:trPr>
          <w:cantSplit/>
        </w:trPr>
        <w:tc>
          <w:tcPr>
            <w:tcW w:type="dxa" w:w="1915"/>
            <w:shd w:fill="F2F4F7"/>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5"/>
              </w:rPr>
              <w:t>Concurrency increases</w:t>
            </w:r>
          </w:p>
        </w:tc>
        <w:tc>
          <w:tcPr>
            <w:tcW w:type="dxa" w:w="2232"/>
            <w:shd w:fill="F2F4F7"/>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5"/>
              </w:rPr>
              <w:t>Aggregate throughput rises then flattens; queues and p95s rise at saturation</w:t>
            </w:r>
          </w:p>
        </w:tc>
        <w:tc>
          <w:tcPr>
            <w:tcW w:type="dxa" w:w="3052"/>
            <w:shd w:fill="F2F4F7"/>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5"/>
              </w:rPr>
              <w:t>Sustainable capacity and safe operating region</w:t>
            </w:r>
          </w:p>
        </w:tc>
        <w:tc>
          <w:tcPr>
            <w:tcW w:type="dxa" w:w="2951"/>
            <w:shd w:fill="F2F4F7"/>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5"/>
              </w:rPr>
              <w:t>Separate client arrival rate from server parallel slots; verify no request errors</w:t>
            </w:r>
          </w:p>
        </w:tc>
      </w:tr>
      <w:tr>
        <w:trPr>
          <w:cantSplit/>
        </w:trPr>
        <w:tc>
          <w:tcPr>
            <w:tcW w:type="dxa" w:w="1915"/>
            <w:shd w:fill="FFFFFF"/>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5"/>
              </w:rPr>
              <w:t>Shared VM result differs across reruns</w:t>
            </w:r>
          </w:p>
        </w:tc>
        <w:tc>
          <w:tcPr>
            <w:tcW w:type="dxa" w:w="2232"/>
            <w:shd w:fill="FFFFFF"/>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5"/>
              </w:rPr>
              <w:t>Variance may be larger than the claimed gain</w:t>
            </w:r>
          </w:p>
        </w:tc>
        <w:tc>
          <w:tcPr>
            <w:tcW w:type="dxa" w:w="3052"/>
            <w:shd w:fill="FFFFFF"/>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5"/>
              </w:rPr>
              <w:t>The result is directional only</w:t>
            </w:r>
          </w:p>
        </w:tc>
        <w:tc>
          <w:tcPr>
            <w:tcW w:type="dxa" w:w="2951"/>
            <w:shd w:fill="FFFFFF"/>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5"/>
              </w:rPr>
              <w:t>Repeat, inspect host/topology controls, then validate on bare metal</w:t>
            </w:r>
          </w:p>
        </w:tc>
      </w:tr>
      <w:tr>
        <w:trPr>
          <w:cantSplit/>
        </w:trPr>
        <w:tc>
          <w:tcPr>
            <w:tcW w:type="dxa" w:w="1915"/>
            <w:shd w:fill="F2F4F7"/>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5"/>
              </w:rPr>
              <w:t>Native and HTTP test disagree</w:t>
            </w:r>
          </w:p>
        </w:tc>
        <w:tc>
          <w:tcPr>
            <w:tcW w:type="dxa" w:w="2232"/>
            <w:shd w:fill="F2F4F7"/>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5"/>
              </w:rPr>
              <w:t>Native prompt/decode and end-to-end user path differ</w:t>
            </w:r>
          </w:p>
        </w:tc>
        <w:tc>
          <w:tcPr>
            <w:tcW w:type="dxa" w:w="3052"/>
            <w:shd w:fill="F2F4F7"/>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5"/>
              </w:rPr>
              <w:t>A boundary-specific finding, not a contradiction</w:t>
            </w:r>
          </w:p>
        </w:tc>
        <w:tc>
          <w:tcPr>
            <w:tcW w:type="dxa" w:w="2951"/>
            <w:shd w:fill="F2F4F7"/>
            <w:tcBorders>
              <w:top w:val="single" w:sz="6" w:space="0" w:color="B7C7DA"/>
              <w:left w:val="single" w:sz="6" w:space="0" w:color="B7C7DA"/>
              <w:bottom w:val="single" w:sz="6" w:space="0" w:color="B7C7DA"/>
              <w:right w:val="single" w:sz="6" w:space="0" w:color="B7C7DA"/>
            </w:tcBorders>
            <w:tcMar>
              <w:top w:w="85" w:type="dxa"/>
              <w:start w:w="95" w:type="dxa"/>
              <w:bottom w:w="85" w:type="dxa"/>
              <w:end w:w="95" w:type="dxa"/>
            </w:tcMar>
            <w:vAlign w:val="top"/>
          </w:tcPr>
          <w:p>
            <w:pPr>
              <w:keepNext w:val="0"/>
              <w:spacing w:before="0" w:after="0" w:line="247" w:lineRule="auto"/>
            </w:pPr>
            <w:r>
              <w:rPr>
                <w:rFonts w:ascii="Arial" w:hAnsi="Arial" w:eastAsia="Arial"/>
                <w:b w:val="0"/>
                <w:i w:val="0"/>
                <w:color w:val="1F2933"/>
                <w:sz w:val="15"/>
              </w:rPr>
              <w:t>Network/tunnel, queue, batching, and serving-scheduler effects</w:t>
            </w:r>
          </w:p>
        </w:tc>
      </w:tr>
    </w:tbl>
    <w:p>
      <w:pPr>
        <w:spacing w:after="0"/>
      </w:pPr>
    </w:p>
    <w:p>
      <w:pPr>
        <w:keepNext/>
        <w:spacing w:before="160" w:after="80" w:line="240" w:lineRule="auto"/>
        <w:jc w:val="left"/>
      </w:pPr>
      <w:r>
        <w:rPr>
          <w:rFonts w:ascii="Arial" w:hAnsi="Arial" w:eastAsia="Arial"/>
          <w:b/>
          <w:i w:val="0"/>
          <w:color w:val="162F7A"/>
          <w:sz w:val="23"/>
        </w:rPr>
        <w:t>What this program produces</w:t>
      </w:r>
    </w:p>
    <w:p>
      <w:pPr>
        <w:keepNext w:val="0"/>
        <w:spacing w:before="0" w:after="160" w:line="262" w:lineRule="auto"/>
        <w:jc w:val="left"/>
      </w:pPr>
      <w:r>
        <w:rPr>
          <w:rFonts w:ascii="Arial" w:hAnsi="Arial" w:eastAsia="Arial"/>
          <w:b w:val="0"/>
          <w:i w:val="0"/>
          <w:color w:val="1F2933"/>
          <w:sz w:val="19"/>
        </w:rPr>
        <w:t>The prefill group tells us which configurations begin a response efficiently for unique or reusable context. The decode group shows whether users receive generated tokens smoothly and how the engine behaves under long answers. The throughput group identifies the safe concurrency range and where queues begin. Bare metal validates whether a shared-VM observation holds when neighbor-VM effects are removed. LLM-D tests add the production system view: routing, cache, queue, pods, and autoscaling.</w:t>
      </w:r>
    </w:p>
    <w:tbl>
      <w:tblPr>
        <w:tblW w:type="auto" w:w="0"/>
        <w:tblLayout w:type="fixed"/>
        <w:tblLook w:firstColumn="1" w:firstRow="1" w:lastColumn="0" w:lastRow="0" w:noHBand="0" w:noVBand="1" w:val="04A0"/>
      </w:tblPr>
      <w:tblGrid>
        <w:gridCol w:w="10224"/>
      </w:tblGrid>
      <w:tr>
        <w:tc>
          <w:tcPr>
            <w:tcW w:type="dxa" w:w="10152"/>
            <w:shd w:fill="EAF3FB"/>
            <w:tcBorders>
              <w:top w:val="single" w:sz="8" w:space="0" w:color="8CB8DF"/>
              <w:left w:val="single" w:sz="8" w:space="0" w:color="8CB8DF"/>
              <w:bottom w:val="single" w:sz="8" w:space="0" w:color="8CB8DF"/>
              <w:right w:val="single" w:sz="8" w:space="0" w:color="8CB8DF"/>
            </w:tcBorders>
            <w:tcMar>
              <w:top w:w="110" w:type="dxa"/>
              <w:start w:w="135" w:type="dxa"/>
              <w:bottom w:w="110" w:type="dxa"/>
              <w:end w:w="135" w:type="dxa"/>
            </w:tcMar>
          </w:tcPr>
          <w:p>
            <w:pPr>
              <w:keepNext w:val="0"/>
              <w:spacing w:before="0" w:after="40" w:line="252" w:lineRule="auto"/>
            </w:pPr>
            <w:r>
              <w:rPr>
                <w:rFonts w:ascii="Arial" w:hAnsi="Arial" w:eastAsia="Arial"/>
                <w:b/>
                <w:i w:val="0"/>
                <w:color w:val="162F7A"/>
                <w:sz w:val="19"/>
              </w:rPr>
              <w:t xml:space="preserve">Recommended reading order  </w:t>
            </w:r>
            <w:r>
              <w:rPr>
                <w:rFonts w:ascii="Arial" w:hAnsi="Arial" w:eastAsia="Arial"/>
                <w:b w:val="0"/>
                <w:i w:val="0"/>
                <w:color w:val="1F2933"/>
                <w:sz w:val="19"/>
              </w:rPr>
              <w:t>Start with the workload taxonomy, select the matching platform and engine, complete the controls table, run the paired preset, then read only the metrics associated with that workload phase. Use the separate result report for observed numbers and supporting screenshots.</w:t>
            </w:r>
          </w:p>
        </w:tc>
      </w:tr>
    </w:tbl>
    <w:p>
      <w:pPr>
        <w:spacing w:after="0"/>
      </w:pPr>
    </w:p>
    <w:p>
      <w:pPr>
        <w:keepNext w:val="0"/>
        <w:spacing w:before="320" w:after="0" w:line="240" w:lineRule="auto"/>
        <w:jc w:val="left"/>
      </w:pPr>
      <w:r>
        <w:rPr>
          <w:rFonts w:ascii="Arial" w:hAnsi="Arial" w:eastAsia="Arial"/>
          <w:b w:val="0"/>
          <w:i/>
          <w:color w:val="162F7A"/>
          <w:sz w:val="17"/>
        </w:rPr>
        <w:t>Method ownership: OCI CPU inference benchmarking lab  |  Companion artifacts: test worksheet, sanitized result report, and raw local outputs</w:t>
      </w:r>
    </w:p>
    <w:sectPr>
      <w:headerReference w:type="default" r:id="rId9"/>
      <w:footerReference w:type="default" r:id="rId10"/>
      <w:pgSz w:w="12240" w:h="15840"/>
      <w:pgMar w:top="893" w:right="1008" w:bottom="806" w:left="1008" w:header="346" w:footer="34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0939A4" w14:textId="77777777">
      <w:r>
        <w:separator/>
      </w:r>
    </w:p>
  </w:endnote>
  <w:endnote w:type="continuationSeparator" w:id="0">
    <w:p w14:paraId="56A038B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DD3E6FD9-D3EA-0B48-A55F-C080D5A51BF2}"/>
    <w:embedBold r:id="rId2" w:fontKey="{DDFB625A-45BE-CE44-B15E-DF5BB7815FF7}"/>
    <w:embedItalic r:id="rId3" w:fontKey="{6119CEB5-DE25-6D4D-B2F9-50E47E40CFE1}"/>
  </w:font>
  <w:font w:name="Helvetica Neue">
    <w:panose1 w:val="02000503000000020004"/>
    <w:charset w:val="00"/>
    <w:family w:val="auto"/>
    <w:pitch w:val="variable"/>
    <w:sig w:usb0="E50002FF" w:usb1="500079DB" w:usb2="00000010" w:usb3="00000000" w:csb0="00000001" w:csb1="00000000"/>
  </w:font>
  <w:font w:name="Times New Roman">
    <w:panose1 w:val="02020603050405020304"/>
    <w:charset w:val="00"/>
    <w:family w:val="roman"/>
    <w:pitch w:val="variable"/>
    <w:sig w:usb0="E0002EFF" w:usb1="C000785B" w:usb2="00000009" w:usb3="00000000" w:csb0="000001FF" w:csb1="00000000"/>
    <w:embedRegular r:id="rId7" w:fontKey="{F3731299-A1D5-B542-9E67-1B0FA6F28CD4}"/>
  </w:font>
  <w:font w:name="Georgia">
    <w:panose1 w:val="02040502050405020303"/>
    <w:charset w:val="00"/>
    <w:family w:val="roman"/>
    <w:pitch w:val="variable"/>
    <w:sig w:usb0="00000287" w:usb1="00000000" w:usb2="00000000" w:usb3="00000000" w:csb0="0000009F" w:csb1="00000000"/>
    <w:embedItalic r:id="rId8" w:fontKey="{682841DE-6A2C-764D-8B8B-541E954AD362}"/>
  </w:font>
  <w:font w:name="Calibri">
    <w:panose1 w:val="020F0502020204030204"/>
    <w:charset w:val="00"/>
    <w:family w:val="modern"/>
    <w:pitch w:val="variable"/>
    <w:sig w:usb0="00000003" w:usb1="00000000" w:usb2="00000000" w:usb3="00000000" w:csb0="00000001" w:csb1="00000000"/>
    <w:embedRegular r:id="rId9" w:fontKey="{D4D164A4-8B83-F44E-A13B-A0908815976C}"/>
  </w:font>
  <w:font w:name="Cambria">
    <w:panose1 w:val="02040503050406030204"/>
    <w:charset w:val="00"/>
    <w:family w:val="roman"/>
    <w:notTrueType/>
    <w:pitch w:val="default"/>
    <w:embedRegular r:id="rId10" w:fontKey="{129DD48A-EFF5-1A47-8CFE-E7D5F089F46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178A6B" w14:textId="77777777">
    <w:pPr>
      <w:keepNext w:val="0"/>
      <w:pBdr>
        <w:top w:val="nil"/>
      </w:pBdr>
      <w:tabs>
        <w:tab w:val="right" w:pos="9360"/>
      </w:tabs>
      <w:spacing w:before="0" w:after="0" w:line="240" w:lineRule="auto"/>
      <w:jc w:val="left"/>
      <w:rPr>
        <w:color w:val="112075"/>
      </w:rPr>
    </w:pPr>
    <w:r>
      <w:rPr>
        <w:rFonts w:ascii="Arial" w:hAnsi="Arial" w:eastAsia="Arial"/>
        <w:b w:val="0"/>
        <w:i w:val="0"/>
        <w:color w:val="162F7A"/>
        <w:sz w:val="16"/>
      </w:rPr>
      <w:t>Internal working guide  |  Results and raw artifacts remain outside Git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94D08F" w14:textId="77777777">
      <w:r>
        <w:separator/>
      </w:r>
    </w:p>
  </w:footnote>
  <w:footnote w:type="continuationSeparator" w:id="0">
    <w:p w14:paraId="4AF4CD8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4F3B78" w14:textId="77777777">
    <w:pPr>
      <w:keepNext w:val="0"/>
      <w:tabs>
        <w:tab w:val="right" w:pos="9360"/>
      </w:tabs>
      <w:spacing w:before="0" w:after="0" w:line="240" w:lineRule="auto"/>
      <w:jc w:val="left"/>
      <w:rPr>
        <w:color w:val="1A1BAA"/>
        <w:sz w:val="16"/>
        <w:szCs w:val="16"/>
      </w:rPr>
      <w:pBdr>
        <w:bottom w:val="single" w:sz="14" w:space="8" w:color="162F7A"/>
      </w:pBdr>
    </w:pPr>
    <w:r>
      <w:rPr>
        <w:rFonts w:ascii="Arial" w:hAnsi="Arial" w:eastAsia="Arial"/>
        <w:b/>
        <w:i w:val="0"/>
        <w:color w:val="162F7A"/>
        <w:sz w:val="16"/>
      </w:rPr>
      <w:t>OCI CPU INFERENCE BENCHMARKING  |  METHODOLOGY GUIDE</w:t>
    </w:r>
  </w:p>
  <w:tbl>
    <w:tblPr>
      <w:tblStyle w:val="a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14:paraId="2CCD06D5" w14:textId="77777777">
      <w:tc>
        <w:tcPr>
          <w:tcW w:w="9360" w:type="dxa"/>
          <w:tcBorders>
            <w:top w:val="single" w:sz="48" w:space="0" w:color="112075"/>
            <w:left w:val="single" w:sz="8" w:space="0" w:color="FFFFFF"/>
            <w:bottom w:val="single" w:sz="8" w:space="0" w:color="FFFFFF"/>
            <w:right w:val="single" w:sz="8" w:space="0" w:color="FFFFFF"/>
          </w:tcBorders>
          <w:tcMar>
            <w:top w:w="0" w:type="dxa"/>
            <w:left w:w="0" w:type="dxa"/>
            <w:bottom w:w="0" w:type="dxa"/>
            <w:right w:w="0" w:type="dxa"/>
          </w:tcMar>
        </w:tcPr>
        <w:p w14:paraId="44A9451B" w14:textId="77777777">
          <w:pPr>
            <w:widowControl w:val="0"/>
            <w:pBdr>
              <w:top w:val="nil"/>
              <w:left w:val="nil"/>
              <w:bottom w:val="nil"/>
              <w:right w:val="nil"/>
              <w:between w:val="nil"/>
            </w:pBdr>
            <w:rPr>
              <w:color w:val="1A1BAA"/>
              <w:sz w:val="16"/>
              <w:szCs w:val="16"/>
            </w:rPr>
          </w:pPr>
        </w:p>
      </w:tc>
    </w:tr>
  </w:tbl>
  <w:p w14:paraId="508BF40B" w14:textId="77777777">
    <w:pPr>
      <w:tabs>
        <w:tab w:val="right" w:pos="9360"/>
      </w:tabs>
      <w:rPr>
        <w:b/>
        <w:bCs/>
        <w:color w:val="112075"/>
        <w:sz w:val="16"/>
        <w:szCs w:val="16"/>
      </w:rPr>
    </w:pPr>
  </w:p>
  <w:p w14:paraId="241E1B98" w14:textId="77777777">
    <w:pPr>
      <w:tabs>
        <w:tab w:val="right" w:pos="9360"/>
      </w:tabs>
      <w:rPr>
        <w:b/>
        <w:bCs/>
        <w:color w:val="2224C5"/>
        <w:sz w:val="16"/>
        <w:szCs w:val="16"/>
      </w:rPr>
    </w:pPr>
  </w:p>
  <w:p w14:paraId="321568A4" w14:textId="77777777">
    <w:pPr>
      <w:tabs>
        <w:tab w:val="right" w:pos="9360"/>
      </w:tabs>
      <w:rPr>
        <w:b/>
        <w:bCs/>
        <w:color w:val="2224C5"/>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7D01B79"/>
    <w:multiLevelType w:val="multilevel"/>
    <w:tmpl w:val="66202F6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A8E1372"/>
    <w:multiLevelType w:val="multilevel"/>
    <w:tmpl w:val="CAB63DA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760104273">
    <w:abstractNumId w:val="1"/>
  </w:num>
  <w:num w:numId="2" w16cid:durableId="56256202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480917"/>
  <w15:docId w15:val="{05643887-4187-7F4D-B23A-57FBA86AE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eastAsia="Arial"/>
      <w:color w:val="1F2933"/>
      <w:sz w:val="20"/>
    </w:rPr>
  </w:style>
  <w:style w:type="paragraph" w:styleId="Heading1">
    <w:name w:val="heading 1"/>
    <w:basedOn w:val="Normal"/>
    <w:next w:val="Normal"/>
    <w:uiPriority w:val="9"/>
    <w:qFormat/>
    <w:pPr>
      <w:spacing w:before="280" w:after="160"/>
      <w:outlineLvl w:val="0"/>
    </w:pPr>
    <w:rPr>
      <w:rFonts w:ascii="Helvetica Neue" w:eastAsia="Helvetica Neue" w:hAnsi="Helvetica Neue" w:cs="Helvetica Neue"/>
      <w:b/>
      <w:bCs/>
      <w:color w:val="112075"/>
      <w:sz w:val="30"/>
      <w:szCs w:val="30"/>
    </w:rPr>
  </w:style>
  <w:style w:type="paragraph" w:styleId="Heading2">
    <w:name w:val="heading 2"/>
    <w:basedOn w:val="Normal"/>
    <w:next w:val="Normal"/>
    <w:uiPriority w:val="9"/>
    <w:unhideWhenUsed/>
    <w:qFormat/>
    <w:pPr>
      <w:spacing w:before="200" w:after="100"/>
      <w:outlineLvl w:val="1"/>
    </w:pPr>
    <w:rPr>
      <w:rFonts w:ascii="Helvetica Neue" w:eastAsia="Helvetica Neue" w:hAnsi="Helvetica Neue" w:cs="Helvetica Neue"/>
      <w:b/>
      <w:bCs/>
      <w:color w:val="112075"/>
    </w:rPr>
  </w:style>
  <w:style w:type="paragraph" w:styleId="Heading3">
    <w:name w:val="heading 3"/>
    <w:basedOn w:val="Normal"/>
    <w:next w:val="Normal"/>
    <w:uiPriority w:val="9"/>
    <w:unhideWhenUsed/>
    <w:qFormat/>
    <w:pPr>
      <w:pBdr>
        <w:top w:val="nil"/>
        <w:left w:val="nil"/>
        <w:bottom w:val="nil"/>
        <w:right w:val="nil"/>
        <w:between w:val="nil"/>
      </w:pBdr>
      <w:spacing w:before="140" w:after="80"/>
      <w:outlineLvl w:val="2"/>
    </w:pPr>
    <w:rPr>
      <w:b/>
      <w:bCs/>
      <w:color w:val="404040"/>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80" w:after="160"/>
      <w:jc w:val="center"/>
    </w:pPr>
    <w:rPr>
      <w:rFonts w:ascii="Helvetica Neue" w:eastAsia="Helvetica Neue" w:hAnsi="Helvetica Neue" w:cs="Helvetica Neue"/>
      <w:b/>
      <w:bCs/>
      <w:color w:val="112075"/>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1658</Words>
  <Characters>9454</Characters>
  <Application>Microsoft Office Word</Application>
  <DocSecurity>0</DocSecurity>
  <Lines>78</Lines>
  <Paragraphs>22</Paragraphs>
  <ScaleCrop>false</ScaleCrop>
  <Company/>
  <LinksUpToDate>false</LinksUpToDate>
  <CharactersWithSpaces>11090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