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spacing w:before="140" w:after="40"/>
        <w:jc w:val="left"/>
        <w:keepNext/>
      </w:pPr>
      <w:r>
        <w:rPr>
          <w:color w:val="000000"/>
          <w:sz w:val="46"/>
        </w:rPr>
        <w:t>OCI CPU Inference Benchmarking</w:t>
      </w:r>
    </w:p>
    <w:p>
      <w:pPr>
        <w:spacing w:after="180"/>
      </w:pPr>
      <w:r>
        <w:rPr>
          <w:rFonts w:ascii="Aptos" w:hAnsi="Aptos"/>
          <w:color w:val="000000"/>
          <w:sz w:val="20"/>
        </w:rPr>
        <w:t>Executive one page summary  •  Updated 16 September 2026</w:t>
      </w:r>
    </w:p>
    <w:p>
      <w:pPr>
        <w:spacing w:before="60" w:after="20"/>
      </w:pPr>
      <w:r>
        <w:rPr>
          <w:rFonts w:ascii="Aptos" w:hAnsi="Aptos"/>
          <w:b/>
          <w:color w:val="000000"/>
          <w:sz w:val="16"/>
        </w:rPr>
        <w:t>EXECUTIVE CONCLUSION</w:t>
      </w:r>
    </w:p>
    <w:p>
      <w:pPr>
        <w:spacing w:after="160" w:line="259" w:lineRule="auto"/>
      </w:pPr>
      <w:r>
        <w:rPr>
          <w:b/>
          <w:color w:val="000000"/>
          <w:sz w:val="20"/>
        </w:rPr>
        <w:t xml:space="preserve">Controlled bare metal testing shows a modest, repeatable E6 Ax advantage for llama.cpp CPU inference. </w:t>
      </w:r>
      <w:r>
        <w:rPr>
          <w:color w:val="000000"/>
          <w:sz w:val="20"/>
        </w:rPr>
        <w:t>Across the strongest matched evidence, E6 Ax improved native prompt processing by 3.6–4.7%, long-output serving throughput by 3.0–6.4%, and p95 end to end latency by up to 6.4%. The earlier flexible VM results were wider and less consistent, so they are directional rather than decision-grade.</w:t>
      </w:r>
    </w:p>
    <w:p>
      <w:pPr>
        <w:spacing w:before="60" w:after="20"/>
      </w:pPr>
      <w:r>
        <w:rPr>
          <w:rFonts w:ascii="Aptos" w:hAnsi="Aptos"/>
          <w:b/>
          <w:color w:val="000000"/>
          <w:sz w:val="16"/>
        </w:rPr>
        <w:t>WHAT WAS CONTROLLED</w:t>
      </w:r>
    </w:p>
    <w:p>
      <w:pPr>
        <w:spacing w:after="120" w:line="252" w:lineRule="auto"/>
      </w:pPr>
      <w:r>
        <w:rPr>
          <w:rFonts w:ascii="Aptos" w:hAnsi="Aptos"/>
          <w:i w:val="0"/>
          <w:color w:val="000000"/>
          <w:sz w:val="17"/>
        </w:rPr>
        <w:t>Matched OCI E6 Flex versus E6 Ax Flex CPU shapes; identical llama.cpp builds and Qwen2.5 GGUF models; equivalent OCPU or bare-metal worker settings; fixed context, batching, prompt suite, and concurrency; cache-disabled cold tests where stated. Results separate native llama-bench microbenchmarks from HTTP streaming serving measurements.</w:t>
      </w:r>
    </w:p>
    <w:p>
      <w:pPr>
        <w:spacing w:before="60" w:after="20"/>
      </w:pPr>
      <w:r>
        <w:rPr>
          <w:rFonts w:ascii="Aptos" w:hAnsi="Aptos"/>
          <w:b/>
          <w:color w:val="000000"/>
          <w:sz w:val="16"/>
        </w:rPr>
        <w:t>DECISION GRADE BARE METAL EVIDENCE</w:t>
      </w:r>
    </w:p>
    <w:tbl>
      <w:tblPr>
        <w:tblW w:type="auto" w:w="0"/>
        <w:tblLayout w:type="fixed"/>
        <w:tblLook w:firstColumn="1" w:firstRow="1" w:lastColumn="0" w:lastRow="0" w:noHBand="0" w:noVBand="1" w:val="04A0"/>
      </w:tblPr>
      <w:tblGrid>
        <w:gridCol w:w="2592"/>
        <w:gridCol w:w="2592"/>
        <w:gridCol w:w="2592"/>
        <w:gridCol w:w="2592"/>
      </w:tblGrid>
      <w:tr>
        <w:tc>
          <w:tcPr>
            <w:tcW w:type="dxa" w:w="3311"/>
            <w:shd w:fill="17365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color w:val="FFFFFF"/>
                <w:sz w:val="16"/>
              </w:rPr>
              <w:t>Workload</w:t>
            </w:r>
          </w:p>
        </w:tc>
        <w:tc>
          <w:tcPr>
            <w:tcW w:type="dxa" w:w="1987"/>
            <w:shd w:fill="17365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color w:val="FFFFFF"/>
                <w:sz w:val="16"/>
              </w:rPr>
              <w:t>E6.256</w:t>
            </w:r>
          </w:p>
        </w:tc>
        <w:tc>
          <w:tcPr>
            <w:tcW w:type="dxa" w:w="1987"/>
            <w:shd w:fill="17365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color w:val="FFFFFF"/>
                <w:sz w:val="16"/>
              </w:rPr>
              <w:t>E6 Ax.192</w:t>
            </w:r>
          </w:p>
        </w:tc>
        <w:tc>
          <w:tcPr>
            <w:tcW w:type="dxa" w:w="1440"/>
            <w:shd w:fill="17365D"/>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color w:val="FFFFFF"/>
                <w:sz w:val="16"/>
              </w:rPr>
              <w:t>E6 Ax result</w:t>
            </w:r>
          </w:p>
        </w:tc>
      </w:tr>
      <w:tr>
        <w:tc>
          <w:tcPr>
            <w:tcW w:type="dxa" w:w="3311"/>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left"/>
            </w:pPr>
            <w:r/>
            <w:r>
              <w:rPr>
                <w:rFonts w:ascii="Aptos" w:hAnsi="Aptos"/>
                <w:b w:val="0"/>
                <w:color w:val="000000"/>
                <w:sz w:val="16"/>
              </w:rPr>
              <w:t>7B native long prompt</w:t>
            </w:r>
          </w:p>
        </w:tc>
        <w:tc>
          <w:tcPr>
            <w:tcW w:type="dxa" w:w="1987"/>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859.26 prompt tok/s</w:t>
            </w:r>
          </w:p>
        </w:tc>
        <w:tc>
          <w:tcPr>
            <w:tcW w:type="dxa" w:w="1987"/>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899.28 prompt tok/s</w:t>
            </w:r>
          </w:p>
        </w:tc>
        <w:tc>
          <w:tcPr>
            <w:tcW w:type="dxa" w:w="144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+4.7%</w:t>
            </w:r>
          </w:p>
        </w:tc>
      </w:tr>
      <w:tr>
        <w:tc>
          <w:tcPr>
            <w:tcW w:type="dxa" w:w="3311"/>
            <w:shd w:fill="F3F7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left"/>
            </w:pPr>
            <w:r/>
            <w:r>
              <w:rPr>
                <w:rFonts w:ascii="Aptos" w:hAnsi="Aptos"/>
                <w:b w:val="0"/>
                <w:color w:val="000000"/>
                <w:sz w:val="16"/>
              </w:rPr>
              <w:t>7B long output HTTP</w:t>
            </w:r>
          </w:p>
        </w:tc>
        <w:tc>
          <w:tcPr>
            <w:tcW w:type="dxa" w:w="1987"/>
            <w:shd w:fill="F3F7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51.42 output tok/s</w:t>
            </w:r>
          </w:p>
        </w:tc>
        <w:tc>
          <w:tcPr>
            <w:tcW w:type="dxa" w:w="1987"/>
            <w:shd w:fill="F3F7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54.70 output tok/s</w:t>
            </w:r>
          </w:p>
        </w:tc>
        <w:tc>
          <w:tcPr>
            <w:tcW w:type="dxa" w:w="1440"/>
            <w:shd w:fill="F3F7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+6.4%</w:t>
            </w:r>
          </w:p>
        </w:tc>
      </w:tr>
      <w:tr>
        <w:tc>
          <w:tcPr>
            <w:tcW w:type="dxa" w:w="3311"/>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left"/>
            </w:pPr>
            <w:r/>
            <w:r>
              <w:rPr>
                <w:rFonts w:ascii="Aptos" w:hAnsi="Aptos"/>
                <w:b w:val="0"/>
                <w:color w:val="000000"/>
                <w:sz w:val="16"/>
              </w:rPr>
              <w:t>7B long output HTTP p95</w:t>
            </w:r>
          </w:p>
        </w:tc>
        <w:tc>
          <w:tcPr>
            <w:tcW w:type="dxa" w:w="1987"/>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11.02 s latency</w:t>
            </w:r>
          </w:p>
        </w:tc>
        <w:tc>
          <w:tcPr>
            <w:tcW w:type="dxa" w:w="1987"/>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10.32 s latency</w:t>
            </w:r>
          </w:p>
        </w:tc>
        <w:tc>
          <w:tcPr>
            <w:tcW w:type="dxa" w:w="144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6.4% lower</w:t>
            </w:r>
          </w:p>
        </w:tc>
      </w:tr>
      <w:tr>
        <w:tc>
          <w:tcPr>
            <w:tcW w:type="dxa" w:w="3311"/>
            <w:shd w:fill="F3F7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left"/>
            </w:pPr>
            <w:r/>
            <w:r>
              <w:rPr>
                <w:rFonts w:ascii="Aptos" w:hAnsi="Aptos"/>
                <w:b w:val="0"/>
                <w:color w:val="000000"/>
                <w:sz w:val="16"/>
              </w:rPr>
              <w:t>7B concurrency 8 HTTP</w:t>
            </w:r>
          </w:p>
        </w:tc>
        <w:tc>
          <w:tcPr>
            <w:tcW w:type="dxa" w:w="1987"/>
            <w:shd w:fill="F3F7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330.55 output tok/s</w:t>
            </w:r>
          </w:p>
        </w:tc>
        <w:tc>
          <w:tcPr>
            <w:tcW w:type="dxa" w:w="1987"/>
            <w:shd w:fill="F3F7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332.10 output tok/s</w:t>
            </w:r>
          </w:p>
        </w:tc>
        <w:tc>
          <w:tcPr>
            <w:tcW w:type="dxa" w:w="1440"/>
            <w:shd w:fill="F3F7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+0.5%</w:t>
            </w:r>
          </w:p>
        </w:tc>
      </w:tr>
      <w:tr>
        <w:tc>
          <w:tcPr>
            <w:tcW w:type="dxa" w:w="3311"/>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left"/>
            </w:pPr>
            <w:r/>
            <w:r>
              <w:rPr>
                <w:rFonts w:ascii="Aptos" w:hAnsi="Aptos"/>
                <w:b w:val="0"/>
                <w:color w:val="000000"/>
                <w:sz w:val="16"/>
              </w:rPr>
              <w:t>14B cold long prefill</w:t>
            </w:r>
          </w:p>
        </w:tc>
        <w:tc>
          <w:tcPr>
            <w:tcW w:type="dxa" w:w="1987"/>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3.640 s TTFT p95</w:t>
            </w:r>
          </w:p>
        </w:tc>
        <w:tc>
          <w:tcPr>
            <w:tcW w:type="dxa" w:w="1987"/>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3.600 s TTFT p95</w:t>
            </w:r>
          </w:p>
        </w:tc>
        <w:tc>
          <w:tcPr>
            <w:tcW w:type="dxa" w:w="144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1.1% lower</w:t>
            </w:r>
          </w:p>
        </w:tc>
      </w:tr>
      <w:tr>
        <w:tc>
          <w:tcPr>
            <w:tcW w:type="dxa" w:w="3311"/>
            <w:shd w:fill="F3F7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left"/>
            </w:pPr>
            <w:r/>
            <w:r>
              <w:rPr>
                <w:rFonts w:ascii="Aptos" w:hAnsi="Aptos"/>
                <w:b w:val="0"/>
                <w:color w:val="000000"/>
                <w:sz w:val="16"/>
              </w:rPr>
              <w:t>14B concurrency 8 HTTP</w:t>
            </w:r>
          </w:p>
        </w:tc>
        <w:tc>
          <w:tcPr>
            <w:tcW w:type="dxa" w:w="1987"/>
            <w:shd w:fill="F3F7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182.13 output tok/s</w:t>
            </w:r>
          </w:p>
        </w:tc>
        <w:tc>
          <w:tcPr>
            <w:tcW w:type="dxa" w:w="1987"/>
            <w:shd w:fill="F3F7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187.59 output tok/s</w:t>
            </w:r>
          </w:p>
        </w:tc>
        <w:tc>
          <w:tcPr>
            <w:tcW w:type="dxa" w:w="1440"/>
            <w:shd w:fill="F3F7FB"/>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before="0" w:after="0" w:line="240" w:lineRule="auto"/>
              <w:jc w:val="center"/>
            </w:pPr>
            <w:r/>
            <w:r>
              <w:rPr>
                <w:rFonts w:ascii="Aptos" w:hAnsi="Aptos"/>
                <w:b w:val="0"/>
                <w:color w:val="000000"/>
                <w:sz w:val="16"/>
              </w:rPr>
              <w:t>+3.0%</w:t>
            </w:r>
          </w:p>
        </w:tc>
      </w:tr>
    </w:tbl>
    <w:p>
      <w:pPr>
        <w:spacing w:after="0" w:before="0"/>
      </w:pPr>
    </w:p>
    <w:p>
      <w:pPr>
        <w:spacing w:before="60" w:after="20"/>
      </w:pPr>
      <w:r>
        <w:rPr>
          <w:rFonts w:ascii="Aptos" w:hAnsi="Aptos"/>
          <w:b/>
          <w:color w:val="000000"/>
          <w:sz w:val="16"/>
        </w:rPr>
        <w:t>WHAT THE RESULTS MEAN</w:t>
      </w:r>
    </w:p>
    <w:p>
      <w:pPr>
        <w:spacing w:after="100" w:line="252" w:lineRule="auto"/>
      </w:pPr>
      <w:r>
        <w:rPr>
          <w:rFonts w:ascii="Aptos" w:hAnsi="Aptos"/>
          <w:i w:val="0"/>
          <w:color w:val="000000"/>
          <w:sz w:val="17"/>
        </w:rPr>
        <w:t>E6 Ax is consistently at least as fast under the matched bare-metal workloads, with its clearest value in sustained decoding and long-prompt processing. The gains are incremental, not universal: the 7B concurrency test was near parity, while the 14B concurrent workload showed 4.4% lower TTFT p95 and 3.9% lower end-to-end p95 latency. This supports selecting E6 Ax when price and capacity are comparable, while validating the workload that matters before broad rollout.</w:t>
      </w:r>
    </w:p>
    <w:p>
      <w:pPr>
        <w:spacing w:before="60" w:after="20"/>
      </w:pPr>
      <w:r>
        <w:rPr>
          <w:rFonts w:ascii="Aptos" w:hAnsi="Aptos"/>
          <w:b/>
          <w:color w:val="000000"/>
          <w:sz w:val="16"/>
        </w:rPr>
        <w:t>IMPORTANT CAVEAT</w:t>
      </w:r>
    </w:p>
    <w:p>
      <w:pPr>
        <w:spacing w:after="100" w:line="252" w:lineRule="auto"/>
      </w:pPr>
      <w:r>
        <w:rPr>
          <w:rFonts w:ascii="Aptos" w:hAnsi="Aptos"/>
          <w:i w:val="0"/>
          <w:color w:val="000000"/>
          <w:sz w:val="17"/>
        </w:rPr>
        <w:t>An 8-OCPU shared-VM llama-bench test showed a much larger E6 Ax decode result (about 80 versus 52 tok/s), but native prompt speed was slightly lower and that magnitude was not reproduced on bare metal. VM host placement, cache locality, and neighboring workload effects remain plausible contributors. Do not use that single result as a general hardware-performance claim.</w:t>
      </w:r>
    </w:p>
    <w:p>
      <w:pPr>
        <w:spacing w:before="60" w:after="20"/>
      </w:pPr>
      <w:r>
        <w:rPr>
          <w:rFonts w:ascii="Aptos" w:hAnsi="Aptos"/>
          <w:b/>
          <w:color w:val="000000"/>
          <w:sz w:val="16"/>
        </w:rPr>
        <w:t>RECOMMENDED NEXT TESTS</w:t>
      </w:r>
    </w:p>
    <w:p>
      <w:pPr>
        <w:spacing w:after="0" w:line="252" w:lineRule="auto"/>
      </w:pPr>
      <w:r>
        <w:rPr>
          <w:rFonts w:ascii="Aptos" w:hAnsi="Aptos"/>
          <w:i w:val="0"/>
          <w:color w:val="000000"/>
          <w:sz w:val="17"/>
        </w:rPr>
        <w:t>Repeat the 8-OCPU VM matrix after recording CPU and NUMA topology. Extend the bare-metal matrix with longer concurrent requests and a larger model. Run CPU vLLM separately using the same workload definitions. Add cost per generated token before a platform recommendation. Keep native and HTTP measurements as separate performance boundaries.</w:t>
      </w:r>
    </w:p>
    <w:sectPr>
      <w:headerReference w:type="default" r:id="rId9"/>
      <w:footerReference w:type="default" r:id="rId10"/>
      <w:pgSz w:w="12240" w:h="15840"/>
      <w:pgMar w:top="792" w:right="936" w:bottom="720" w:left="936"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rFonts w:ascii="Aptos" w:hAnsi="Aptos"/>
        <w:color w:val="596570"/>
        <w:sz w:val="15"/>
      </w:rPr>
      <w:t>Internal benchmark 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Strategy Memo</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