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84"/>
        </w:rPr>
        <w:t>GEOALERT</w:t>
      </w:r>
    </w:p>
    <w:p>
      <w:pPr>
        <w:jc w:val="center"/>
      </w:pPr>
      <w:r>
        <w:rPr>
          <w:color w:val="386DB0"/>
          <w:sz w:val="36"/>
        </w:rPr>
        <w:t>Comprehensive Architectural, Scientific,</w:t>
        <w:br/>
        <w:t>and Engineering Lifecycle Report</w:t>
      </w:r>
    </w:p>
    <w:p/>
    <w:p>
      <w:pPr>
        <w:jc w:val="center"/>
      </w:pPr>
      <w:r>
        <w:rPr>
          <w:b/>
          <w:color w:val="64748B"/>
          <w:sz w:val="28"/>
        </w:rPr>
        <w:t>AI-Powered Early Warning &amp; Landslide Risk Monitoring</w:t>
      </w:r>
    </w:p>
    <w:p>
      <w:pPr>
        <w:jc w:val="center"/>
      </w:pPr>
      <w:r>
        <w:rPr>
          <w:color w:val="64748B"/>
          <w:sz w:val="26"/>
        </w:rPr>
        <w:t>Final Landslide Risk Intelligence Platform</w:t>
      </w:r>
    </w:p>
    <w:p/>
    <w:p/>
    <w:p/>
    <w:tbl>
      <w:tblPr>
        <w:tblW w:type="auto" w:w="0"/>
        <w:jc w:val="center"/>
        <w:tblLook w:firstColumn="1" w:firstRow="1" w:lastColumn="0" w:lastRow="0" w:noHBand="0" w:noVBand="1" w:val="04A0"/>
      </w:tblPr>
      <w:tblGrid>
        <w:gridCol w:w="4824"/>
        <w:gridCol w:w="4824"/>
      </w:tblGrid>
      <w:tr>
        <w:tc>
          <w:tcPr>
            <w:tcW w:type="dxa" w:w="3600"/>
          </w:tcPr>
          <w:p>
            <w:pPr>
              <w:jc w:val="right"/>
            </w:pPr>
            <w:r/>
            <w:r>
              <w:rPr>
                <w:b/>
                <w:color w:val="386DB0"/>
                <w:sz w:val="20"/>
              </w:rPr>
              <w:t>Target Geography</w:t>
            </w:r>
          </w:p>
        </w:tc>
        <w:tc>
          <w:tcPr>
            <w:tcW w:type="dxa" w:w="6480"/>
          </w:tcPr>
          <w:p>
            <w:r/>
            <w:r>
              <w:rPr>
                <w:color w:val="0F172A"/>
                <w:sz w:val="20"/>
              </w:rPr>
              <w:t>Meghalaya &amp; Northeast India</w:t>
            </w:r>
          </w:p>
        </w:tc>
      </w:tr>
      <w:tr>
        <w:tc>
          <w:tcPr>
            <w:tcW w:type="dxa" w:w="3600"/>
          </w:tcPr>
          <w:p>
            <w:pPr>
              <w:jc w:val="right"/>
            </w:pPr>
            <w:r/>
            <w:r>
              <w:rPr>
                <w:b/>
                <w:color w:val="386DB0"/>
                <w:sz w:val="20"/>
              </w:rPr>
              <w:t>Operational Classification</w:t>
            </w:r>
          </w:p>
        </w:tc>
        <w:tc>
          <w:tcPr>
            <w:tcW w:type="dxa" w:w="6480"/>
          </w:tcPr>
          <w:p>
            <w:r/>
            <w:r>
              <w:rPr>
                <w:color w:val="0F172A"/>
                <w:sz w:val="20"/>
              </w:rPr>
              <w:t>Research Decision-Support &amp; Spatio-Temporal Early Warning Platform</w:t>
            </w:r>
          </w:p>
        </w:tc>
      </w:tr>
      <w:tr>
        <w:tc>
          <w:tcPr>
            <w:tcW w:type="dxa" w:w="3600"/>
          </w:tcPr>
          <w:p>
            <w:pPr>
              <w:jc w:val="right"/>
            </w:pPr>
            <w:r/>
            <w:r>
              <w:rPr>
                <w:b/>
                <w:color w:val="386DB0"/>
                <w:sz w:val="20"/>
              </w:rPr>
              <w:t>Repository</w:t>
            </w:r>
          </w:p>
        </w:tc>
        <w:tc>
          <w:tcPr>
            <w:tcW w:type="dxa" w:w="6480"/>
          </w:tcPr>
          <w:p>
            <w:r/>
            <w:r>
              <w:rPr>
                <w:color w:val="0F172A"/>
                <w:sz w:val="20"/>
              </w:rPr>
              <w:t>github.com/aruchith08/GEOALERT-SIH-2026</w:t>
            </w:r>
          </w:p>
        </w:tc>
      </w:tr>
      <w:tr>
        <w:tc>
          <w:tcPr>
            <w:tcW w:type="dxa" w:w="3600"/>
          </w:tcPr>
          <w:p>
            <w:pPr>
              <w:jc w:val="right"/>
            </w:pPr>
            <w:r/>
            <w:r>
              <w:rPr>
                <w:b/>
                <w:color w:val="386DB0"/>
                <w:sz w:val="20"/>
              </w:rPr>
              <w:t>Live Stack</w:t>
            </w:r>
          </w:p>
        </w:tc>
        <w:tc>
          <w:tcPr>
            <w:tcW w:type="dxa" w:w="6480"/>
          </w:tcPr>
          <w:p>
            <w:r/>
            <w:r>
              <w:rPr>
                <w:color w:val="0F172A"/>
                <w:sz w:val="20"/>
              </w:rPr>
              <w:t>Next.js 15 (Port 3000) • FastAPI Python 3.12 (Port 8000) • Docker Compose</w:t>
            </w:r>
          </w:p>
        </w:tc>
      </w:tr>
    </w:tbl>
    <w:p>
      <w:r>
        <w:br w:type="page"/>
      </w:r>
    </w:p>
    <w:p>
      <w:pPr>
        <w:pStyle w:val="Heading1"/>
      </w:pPr>
      <w:r>
        <w:rPr>
          <w:color w:val="0F172A"/>
        </w:rPr>
        <w:t>Table of Contents</w:t>
      </w:r>
    </w:p>
    <w:p>
      <w:pPr>
        <w:spacing w:after="80"/>
      </w:pPr>
      <w:r>
        <w:rPr>
          <w:color w:val="0F172A"/>
          <w:sz w:val="22"/>
        </w:rPr>
        <w:t>1. Executive Summary &amp; Core Scientific Problem</w:t>
      </w:r>
    </w:p>
    <w:p>
      <w:pPr>
        <w:spacing w:after="80"/>
      </w:pPr>
      <w:r>
        <w:rPr>
          <w:color w:val="0F172A"/>
          <w:sz w:val="22"/>
        </w:rPr>
        <w:t>2. Complete System Architecture &amp; Data Flow</w:t>
      </w:r>
    </w:p>
    <w:p>
      <w:pPr>
        <w:spacing w:after="80"/>
      </w:pPr>
      <w:r>
        <w:rPr>
          <w:color w:val="0F172A"/>
          <w:sz w:val="22"/>
        </w:rPr>
        <w:t>3. Data Engineering &amp; Geomatics Foundation</w:t>
      </w:r>
    </w:p>
    <w:p>
      <w:pPr>
        <w:spacing w:after="80"/>
      </w:pPr>
      <w:r>
        <w:rPr>
          <w:color w:val="0F172A"/>
          <w:sz w:val="22"/>
        </w:rPr>
        <w:t>4. Model A: Static Susceptibility Engineering</w:t>
      </w:r>
    </w:p>
    <w:p>
      <w:pPr>
        <w:spacing w:after="80"/>
      </w:pPr>
      <w:r>
        <w:rPr>
          <w:color w:val="0F172A"/>
          <w:sz w:val="22"/>
        </w:rPr>
        <w:t>5. Model B: Dynamic Rainfall Trigger Engineering</w:t>
      </w:r>
    </w:p>
    <w:p>
      <w:pPr>
        <w:spacing w:after="80"/>
      </w:pPr>
      <w:r>
        <w:rPr>
          <w:color w:val="0F172A"/>
          <w:sz w:val="22"/>
        </w:rPr>
        <w:t>6. Phase 4: Controlled Coupling Experiment &amp; Formulation</w:t>
      </w:r>
    </w:p>
    <w:p>
      <w:pPr>
        <w:spacing w:after="80"/>
      </w:pPr>
      <w:r>
        <w:rPr>
          <w:color w:val="0F172A"/>
          <w:sz w:val="22"/>
        </w:rPr>
        <w:t>7. Phase 4: Spatial Risk Engine, 3,156-Cell Grid &amp; Infrastructure</w:t>
      </w:r>
    </w:p>
    <w:p>
      <w:pPr>
        <w:spacing w:after="80"/>
      </w:pPr>
      <w:r>
        <w:rPr>
          <w:color w:val="0F172A"/>
          <w:sz w:val="22"/>
        </w:rPr>
        <w:t>8. Phase 4: Production FastAPI Backend Engine</w:t>
      </w:r>
    </w:p>
    <w:p>
      <w:pPr>
        <w:spacing w:after="80"/>
      </w:pPr>
      <w:r>
        <w:rPr>
          <w:color w:val="0F172A"/>
          <w:sz w:val="22"/>
        </w:rPr>
        <w:t>9. Phase 4: Frontend Web GIS &amp; Packaging</w:t>
      </w:r>
    </w:p>
    <w:p>
      <w:pPr>
        <w:spacing w:after="80"/>
      </w:pPr>
      <w:r>
        <w:rPr>
          <w:color w:val="0F172A"/>
          <w:sz w:val="22"/>
        </w:rPr>
        <w:t>10. The GEOALERT Transformation &amp; Full ML Dynamic Grounding</w:t>
      </w:r>
    </w:p>
    <w:p>
      <w:pPr>
        <w:spacing w:after="80"/>
      </w:pPr>
      <w:r>
        <w:rPr>
          <w:color w:val="0F172A"/>
          <w:sz w:val="22"/>
        </w:rPr>
        <w:t>11. Cloud DevOps, Deployment &amp; GitHub Release</w:t>
      </w:r>
    </w:p>
    <w:p>
      <w:pPr>
        <w:spacing w:after="80"/>
      </w:pPr>
      <w:r>
        <w:rPr>
          <w:color w:val="0F172A"/>
          <w:sz w:val="22"/>
        </w:rPr>
        <w:t>12. Verification &amp; Integrity Audit Matrix</w:t>
      </w:r>
    </w:p>
    <w:p>
      <w:pPr>
        <w:spacing w:after="80"/>
      </w:pPr>
      <w:r>
        <w:rPr>
          <w:color w:val="0F172A"/>
          <w:sz w:val="22"/>
        </w:rPr>
        <w:t>13. Summary of Key Files &amp; Directory Structure</w:t>
      </w:r>
    </w:p>
    <w:p>
      <w:pPr>
        <w:spacing w:after="80"/>
      </w:pPr>
      <w:r>
        <w:rPr>
          <w:color w:val="0F172A"/>
          <w:sz w:val="22"/>
        </w:rPr>
        <w:t>14. Conclusion &amp; Key Architectural Takeaways</w:t>
      </w:r>
    </w:p>
    <w:p>
      <w:r>
        <w:br w:type="page"/>
      </w:r>
    </w:p>
    <w:p>
      <w:pPr>
        <w:pStyle w:val="Heading1"/>
      </w:pPr>
      <w:r>
        <w:rPr>
          <w:color w:val="0F172A"/>
        </w:rPr>
        <w:t>1. Executive Summary &amp; Core Scientific Problem</w:t>
      </w:r>
    </w:p>
    <w:p>
      <w:pPr>
        <w:pStyle w:val="Heading2"/>
      </w:pPr>
      <w:r>
        <w:rPr>
          <w:color w:val="0F172A"/>
        </w:rPr>
        <w:t>1.1 The Operational Paradox in Mountainous Terrains</w:t>
      </w:r>
    </w:p>
    <w:p>
      <w:pPr>
        <w:spacing w:after="120" w:line="300" w:lineRule="exact"/>
      </w:pPr>
      <w:r>
        <w:rPr>
          <w:b w:val="0"/>
          <w:i w:val="0"/>
          <w:color w:val="0F172A"/>
          <w:sz w:val="21"/>
        </w:rPr>
        <w:t>Meghalaya presents one of the most extreme landslide hazards globally. Home to Cherrapunjee (Sohra) and Mawsynram—the wettest places on Earth—the state receives between 8,000 mm and 12,000 mm of annual precipitation. This intense rainfall interacts with steep, highly fractured Precambrian gneiss, Cretaceous Shillong Group quartzites, and Tertiary sedimentary strata across an intensely dissected plateau.</w:t>
      </w:r>
    </w:p>
    <w:p>
      <w:pPr>
        <w:spacing w:after="120" w:line="300" w:lineRule="exact"/>
      </w:pPr>
      <w:r>
        <w:rPr>
          <w:b w:val="0"/>
          <w:i w:val="0"/>
          <w:color w:val="0F172A"/>
          <w:sz w:val="21"/>
        </w:rPr>
        <w:t>Conventional early warning systems deployed across India and developing nations rely almost exclusively on empirical rainfall intensity-duration thresholds (e.g., Caine-type or IMD district rainfall advisories). These systems suffer from a severe dual failure:</w:t>
      </w:r>
    </w:p>
    <w:p>
      <w:pPr>
        <w:pStyle w:val="ListNumber"/>
        <w:spacing w:after="60"/>
      </w:pPr>
      <w:r>
        <w:rPr>
          <w:b/>
          <w:sz w:val="20"/>
        </w:rPr>
        <w:t xml:space="preserve">Catastrophic False Alarm Ratios (FAR): </w:t>
      </w:r>
      <w:r>
        <w:rPr>
          <w:sz w:val="20"/>
        </w:rPr>
        <w:t>During an active monsoon surge, 100 mm of rain may fall across an entire district. A rainfall-only threshold triggers blanket red alerts for the whole region—including flat river floodplains, gentle valleys, and stable plateau surfaces that physically cannot slide. This triggers alert fatigue, economic disruption, and public non-compliance.</w:t>
      </w:r>
    </w:p>
    <w:p>
      <w:pPr>
        <w:pStyle w:val="ListNumber"/>
        <w:spacing w:after="60"/>
      </w:pPr>
      <w:r>
        <w:rPr>
          <w:b/>
          <w:sz w:val="20"/>
        </w:rPr>
        <w:t xml:space="preserve">Failure to Resolve Critical Cut Slopes: </w:t>
      </w:r>
      <w:r>
        <w:rPr>
          <w:sz w:val="20"/>
        </w:rPr>
        <w:t>Rainfall alone cannot differentiate between a forested, gentle hillside and a steep, road-cut cliff with sheared bedrock and poor drainage.</w:t>
      </w:r>
    </w:p>
    <w:p>
      <w:pPr>
        <w:pStyle w:val="Heading2"/>
      </w:pPr>
      <w:r>
        <w:rPr>
          <w:color w:val="0F172A"/>
        </w:rPr>
        <w:t>1.2 The Decoupled Dual-Model Solution</w:t>
      </w:r>
    </w:p>
    <w:p>
      <w:pPr>
        <w:spacing w:after="120" w:line="300" w:lineRule="exact"/>
      </w:pPr>
      <w:r>
        <w:rPr>
          <w:b w:val="0"/>
          <w:i w:val="0"/>
          <w:color w:val="0F172A"/>
          <w:sz w:val="21"/>
        </w:rPr>
        <w:t>GEOALERT resolves this paradigm by strictly decoupling:</w:t>
      </w:r>
    </w:p>
    <w:p>
      <w:pPr>
        <w:pStyle w:val="ListBullet"/>
        <w:spacing w:after="60"/>
      </w:pPr>
      <w:r>
        <w:rPr>
          <w:b/>
          <w:color w:val="0F172A"/>
          <w:sz w:val="20"/>
        </w:rPr>
        <w:t xml:space="preserve">Model A (Static Environmental/Geomorphic Predisposition): </w:t>
      </w:r>
      <w:r>
        <w:rPr>
          <w:color w:val="0F172A"/>
          <w:sz w:val="20"/>
        </w:rPr>
        <w:t>Where can a landslide physically happen? Evaluates 16 morphometric, geotechnical, hydrological, and lithological features to output terrain susceptibility P(S) ∈ [0.0, 1.0].</w:t>
      </w:r>
    </w:p>
    <w:p>
      <w:pPr>
        <w:pStyle w:val="ListBullet"/>
        <w:spacing w:after="60"/>
      </w:pPr>
      <w:r>
        <w:rPr>
          <w:b/>
          <w:color w:val="0F172A"/>
          <w:sz w:val="20"/>
        </w:rPr>
        <w:t xml:space="preserve">Model B (Dynamic Antecedent Precipitation Trigger): </w:t>
      </w:r>
      <w:r>
        <w:rPr>
          <w:color w:val="0F172A"/>
          <w:sz w:val="20"/>
        </w:rPr>
        <w:t>Is the current meteorological forcing sufficient to trigger slope failure today? Evaluates 10 satellite precipitation predictors (CHIRPS) to output trigger probability P(D) ∈ [0.0, 1.0].</w:t>
      </w:r>
    </w:p>
    <w:p>
      <w:pPr>
        <w:spacing w:after="120" w:line="300" w:lineRule="exact"/>
      </w:pPr>
      <w:r>
        <w:rPr>
          <w:b w:val="0"/>
          <w:i w:val="0"/>
          <w:color w:val="0F172A"/>
          <w:sz w:val="21"/>
        </w:rPr>
        <w:t>These independent probabilities are unified through a multiplicative coupling formulation:</w:t>
      </w:r>
    </w:p>
    <w:p>
      <w:pPr>
        <w:spacing w:before="240" w:after="240"/>
        <w:jc w:val="center"/>
      </w:pPr>
      <w:r>
        <w:rPr>
          <w:rFonts w:ascii="Cambria Math" w:hAnsi="Cambria Math"/>
          <w:b/>
          <w:color w:val="386DB0"/>
          <w:sz w:val="24"/>
        </w:rPr>
        <w:t>Risk(x, y, t) = P(S)ₓᵧ × P(D)ₓᵧₜ</w:t>
      </w:r>
      <w:r>
        <w:rPr>
          <w:i/>
          <w:color w:val="64748B"/>
          <w:sz w:val="18"/>
        </w:rPr>
        <w:t xml:space="preserve">    (Eq. 1)</w:t>
      </w:r>
    </w:p>
    <w:p>
      <w:pPr>
        <w:spacing w:after="120" w:line="300" w:lineRule="exact"/>
      </w:pPr>
      <w:r>
        <w:rPr>
          <w:b w:val="0"/>
          <w:i w:val="0"/>
          <w:color w:val="0F172A"/>
          <w:sz w:val="21"/>
        </w:rPr>
        <w:t>Governed by a frozen operational threshold T_coup = 0.0502 and a geomorphic safety floor P(S)_floor = 0.1500, this formulation ensures:</w:t>
      </w:r>
    </w:p>
    <w:p>
      <w:pPr>
        <w:pStyle w:val="ListBullet"/>
        <w:spacing w:after="60"/>
      </w:pPr>
      <w:r>
        <w:rPr>
          <w:color w:val="0F172A"/>
          <w:sz w:val="20"/>
        </w:rPr>
        <w:t>If terrain susceptibility is negligible (P(S) &lt; 0.1500), risk remains suppressed in Level 1: Green regardless of cloudburst intensity.</w:t>
      </w:r>
    </w:p>
    <w:p>
      <w:pPr>
        <w:pStyle w:val="ListBullet"/>
        <w:spacing w:after="60"/>
      </w:pPr>
      <w:r>
        <w:rPr>
          <w:color w:val="0F172A"/>
          <w:sz w:val="20"/>
        </w:rPr>
        <w:t>If terrain susceptibility is high (P(S) ≥ 0.5000), seasonal monsoon rains push the coupled product into Level 3: Orange or Level 4: Red.</w:t>
      </w:r>
    </w:p>
    <w:tbl>
      <w:tblPr>
        <w:tblW w:type="auto" w:w="0"/>
        <w:jc w:val="center"/>
        <w:tblLook w:firstColumn="1" w:firstRow="1" w:lastColumn="0" w:lastRow="0" w:noHBand="0" w:noVBand="1" w:val="04A0"/>
      </w:tblPr>
      <w:tblGrid>
        <w:gridCol w:w="9648"/>
      </w:tblGrid>
      <w:tr>
        <w:tc>
          <w:tcPr>
            <w:tcW w:type="dxa" w:w="9648"/>
            <w:shd w:fill="DCFCE7" w:val="clear"/>
          </w:tcPr>
          <w:p>
            <w:r>
              <w:rPr>
                <w:b/>
                <w:color w:val="166534"/>
                <w:sz w:val="19"/>
              </w:rPr>
              <w:t xml:space="preserve">✅  SUCCESS: </w:t>
            </w:r>
            <w:r>
              <w:rPr>
                <w:color w:val="166534"/>
                <w:sz w:val="19"/>
              </w:rPr>
              <w:t>Result on Untouched Holdout Testing: 71.0% reduction in false alarms compared to dynamic rainfall models alone, with 0.9526 ROC-AUC and 0.9098 PR-AUC.</w:t>
            </w:r>
          </w:p>
        </w:tc>
      </w:tr>
    </w:tbl>
    <w:p/>
    <w:p>
      <w:r>
        <w:br w:type="page"/>
      </w:r>
    </w:p>
    <w:p>
      <w:pPr>
        <w:pStyle w:val="Heading1"/>
      </w:pPr>
      <w:r>
        <w:rPr>
          <w:color w:val="0F172A"/>
        </w:rPr>
        <w:t>2. Complete System Architecture &amp; Data Flow</w:t>
      </w:r>
    </w:p>
    <w:p>
      <w:pPr>
        <w:spacing w:after="120" w:line="300" w:lineRule="exact"/>
      </w:pPr>
      <w:r>
        <w:rPr>
          <w:b w:val="0"/>
          <w:i w:val="0"/>
          <w:color w:val="0F172A"/>
          <w:sz w:val="21"/>
        </w:rPr>
        <w:t>The GEOALERT platform follows a layered architecture separating raw spatial data ingestion, feature engineering, dual-model inference, coupling, and web presentation layers.</w:t>
      </w:r>
    </w:p>
    <w:p/>
    <w:p>
      <w:pPr>
        <w:jc w:val="center"/>
      </w:pPr>
      <w:r>
        <w:drawing>
          <wp:inline xmlns:a="http://schemas.openxmlformats.org/drawingml/2006/main" xmlns:pic="http://schemas.openxmlformats.org/drawingml/2006/picture">
            <wp:extent cx="5943600" cy="816412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943600" cy="8164124"/>
                    </a:xfrm>
                    <a:prstGeom prst="rect"/>
                  </pic:spPr>
                </pic:pic>
              </a:graphicData>
            </a:graphic>
          </wp:inline>
        </w:drawing>
      </w:r>
    </w:p>
    <w:p>
      <w:pPr>
        <w:jc w:val="center"/>
      </w:pPr>
      <w:r>
        <w:rPr>
          <w:i/>
          <w:color w:val="64748B"/>
          <w:sz w:val="18"/>
        </w:rPr>
        <w:t>Figure 1: GEOALERT Complete System Architecture Flowchart</w:t>
      </w:r>
    </w:p>
    <w:p>
      <w:r>
        <w:br w:type="page"/>
      </w:r>
    </w:p>
    <w:p>
      <w:pPr>
        <w:pStyle w:val="Heading1"/>
      </w:pPr>
      <w:r>
        <w:rPr>
          <w:color w:val="0F172A"/>
        </w:rPr>
        <w:t>3. Data Engineering &amp; Geomatics Foundation (Phase 1 &amp; Phase 2)</w:t>
      </w:r>
    </w:p>
    <w:p>
      <w:pPr>
        <w:pStyle w:val="Heading2"/>
      </w:pPr>
      <w:r>
        <w:rPr>
          <w:color w:val="0F172A"/>
        </w:rPr>
        <w:t>3.1 Landslide Inventory Acquisition</w:t>
      </w:r>
    </w:p>
    <w:p>
      <w:pPr>
        <w:pStyle w:val="ListBullet"/>
        <w:spacing w:after="60"/>
      </w:pPr>
      <w:r>
        <w:rPr>
          <w:b/>
          <w:color w:val="0F172A"/>
          <w:sz w:val="20"/>
        </w:rPr>
        <w:t xml:space="preserve">Primary Source: </w:t>
      </w:r>
      <w:r>
        <w:rPr>
          <w:color w:val="0F172A"/>
          <w:sz w:val="20"/>
        </w:rPr>
        <w:t>Geological Survey of India (GSI) Bhukosh National Landslide Inventory.</w:t>
      </w:r>
    </w:p>
    <w:p>
      <w:pPr>
        <w:pStyle w:val="ListBullet"/>
        <w:spacing w:after="60"/>
      </w:pPr>
      <w:r>
        <w:rPr>
          <w:b/>
          <w:color w:val="0F172A"/>
          <w:sz w:val="20"/>
        </w:rPr>
        <w:t xml:space="preserve">Filtering &amp; Spatial Validation: </w:t>
      </w:r>
      <w:r>
        <w:rPr>
          <w:color w:val="0F172A"/>
          <w:sz w:val="20"/>
        </w:rPr>
        <w:t>Filtered strictly to historical slope failures within the bounding box of Meghalaya (Lat: 25.02°N – 26.10°N, Lon: 89.80°E – 92.85°E).</w:t>
      </w:r>
    </w:p>
    <w:p>
      <w:pPr>
        <w:pStyle w:val="ListBullet"/>
        <w:spacing w:after="60"/>
      </w:pPr>
      <w:r>
        <w:rPr>
          <w:b/>
          <w:color w:val="0F172A"/>
          <w:sz w:val="20"/>
        </w:rPr>
        <w:t xml:space="preserve">Confirmed Failures: </w:t>
      </w:r>
      <w:r>
        <w:rPr>
          <w:color w:val="0F172A"/>
          <w:sz w:val="20"/>
        </w:rPr>
        <w:t>1,052 verified landslide records documented between 2007 and 2026.</w:t>
      </w:r>
    </w:p>
    <w:p>
      <w:pPr>
        <w:pStyle w:val="ListBullet"/>
        <w:spacing w:after="60"/>
      </w:pPr>
      <w:r>
        <w:rPr>
          <w:b/>
          <w:color w:val="0F172A"/>
          <w:sz w:val="20"/>
        </w:rPr>
        <w:t xml:space="preserve">Extraction Code: </w:t>
      </w:r>
      <w:r>
        <w:rPr>
          <w:color w:val="0F172A"/>
          <w:sz w:val="20"/>
        </w:rPr>
        <w:t>Implemented in src/extract_gsi_landslides.py.</w:t>
      </w:r>
    </w:p>
    <w:p>
      <w:pPr>
        <w:pStyle w:val="Heading2"/>
      </w:pPr>
      <w:r>
        <w:rPr>
          <w:color w:val="0F172A"/>
        </w:rPr>
        <w:t>3.2 Spatially Disjoint Block Stratification (Preventing Data Leakage)</w:t>
      </w:r>
    </w:p>
    <w:p>
      <w:pPr>
        <w:spacing w:after="120" w:line="300" w:lineRule="exact"/>
      </w:pPr>
      <w:r>
        <w:rPr>
          <w:b w:val="0"/>
          <w:i w:val="0"/>
          <w:color w:val="0F172A"/>
          <w:sz w:val="21"/>
        </w:rPr>
        <w:t>A primary flaw in published landslide AI literature is random train/test splitting, which suffers from severe spatial autocorrelation leakage (training on one side of a hill and testing on the other side of the same ridge). To guarantee leak-free generalization, the state was partitioned into 5 geographically separated blocks: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1E293B" w:val="clear"/>
          </w:tcPr>
          <w:p>
            <w:pPr>
              <w:jc w:val="center"/>
            </w:pPr>
            <w:r/>
            <w:r>
              <w:rPr>
                <w:b/>
                <w:color w:val="FFFFFF"/>
                <w:sz w:val="18"/>
              </w:rPr>
              <w:t>Spatial Block</w:t>
            </w:r>
          </w:p>
        </w:tc>
        <w:tc>
          <w:tcPr>
            <w:tcW w:type="dxa" w:w="2412"/>
            <w:vAlign w:val="center"/>
            <w:shd w:fill="1E293B" w:val="clear"/>
          </w:tcPr>
          <w:p>
            <w:pPr>
              <w:jc w:val="center"/>
            </w:pPr>
            <w:r/>
            <w:r>
              <w:rPr>
                <w:b/>
                <w:color w:val="FFFFFF"/>
                <w:sz w:val="18"/>
              </w:rPr>
              <w:t>Regional Geography</w:t>
            </w:r>
          </w:p>
        </w:tc>
        <w:tc>
          <w:tcPr>
            <w:tcW w:type="dxa" w:w="2412"/>
            <w:vAlign w:val="center"/>
            <w:shd w:fill="1E293B" w:val="clear"/>
          </w:tcPr>
          <w:p>
            <w:pPr>
              <w:jc w:val="center"/>
            </w:pPr>
            <w:r/>
            <w:r>
              <w:rPr>
                <w:b/>
                <w:color w:val="FFFFFF"/>
                <w:sz w:val="18"/>
              </w:rPr>
              <w:t>Grid Cells (N)</w:t>
            </w:r>
          </w:p>
        </w:tc>
        <w:tc>
          <w:tcPr>
            <w:tcW w:type="dxa" w:w="2412"/>
            <w:vAlign w:val="center"/>
            <w:shd w:fill="1E293B" w:val="clear"/>
          </w:tcPr>
          <w:p>
            <w:pPr>
              <w:jc w:val="center"/>
            </w:pPr>
            <w:r/>
            <w:r>
              <w:rPr>
                <w:b/>
                <w:color w:val="FFFFFF"/>
                <w:sz w:val="18"/>
              </w:rPr>
              <w:t>Role in Training &amp; Holdout</w:t>
            </w:r>
          </w:p>
        </w:tc>
      </w:tr>
      <w:tr>
        <w:tc>
          <w:tcPr>
            <w:tcW w:type="dxa" w:w="2412"/>
            <w:vAlign w:val="center"/>
          </w:tcPr>
          <w:p>
            <w:pPr>
              <w:jc w:val="left"/>
            </w:pPr>
            <w:r/>
            <w:r>
              <w:rPr>
                <w:b/>
                <w:color w:val="0F172A"/>
                <w:sz w:val="17"/>
              </w:rPr>
              <w:t>Block 1</w:t>
            </w:r>
          </w:p>
        </w:tc>
        <w:tc>
          <w:tcPr>
            <w:tcW w:type="dxa" w:w="2412"/>
            <w:vAlign w:val="center"/>
          </w:tcPr>
          <w:p>
            <w:pPr>
              <w:jc w:val="center"/>
            </w:pPr>
            <w:r/>
            <w:r>
              <w:rPr>
                <w:color w:val="0F172A"/>
                <w:sz w:val="17"/>
              </w:rPr>
              <w:t>West Garo Hills &amp; South Garo</w:t>
            </w:r>
          </w:p>
        </w:tc>
        <w:tc>
          <w:tcPr>
            <w:tcW w:type="dxa" w:w="2412"/>
            <w:vAlign w:val="center"/>
          </w:tcPr>
          <w:p>
            <w:pPr>
              <w:jc w:val="center"/>
            </w:pPr>
            <w:r/>
            <w:r>
              <w:rPr>
                <w:color w:val="0F172A"/>
                <w:sz w:val="17"/>
              </w:rPr>
              <w:t>1,037</w:t>
            </w:r>
          </w:p>
        </w:tc>
        <w:tc>
          <w:tcPr>
            <w:tcW w:type="dxa" w:w="2412"/>
            <w:vAlign w:val="center"/>
          </w:tcPr>
          <w:p>
            <w:pPr>
              <w:jc w:val="center"/>
            </w:pPr>
            <w:r/>
            <w:r>
              <w:rPr>
                <w:color w:val="0F172A"/>
                <w:sz w:val="17"/>
              </w:rPr>
              <w:t>Model Training &amp; Background Partition</w:t>
            </w:r>
          </w:p>
        </w:tc>
      </w:tr>
      <w:tr>
        <w:tc>
          <w:tcPr>
            <w:tcW w:type="dxa" w:w="2412"/>
            <w:vAlign w:val="center"/>
            <w:shd w:fill="F8FAFC" w:val="clear"/>
          </w:tcPr>
          <w:p>
            <w:pPr>
              <w:jc w:val="left"/>
            </w:pPr>
            <w:r/>
            <w:r>
              <w:rPr>
                <w:b/>
                <w:color w:val="0F172A"/>
                <w:sz w:val="17"/>
              </w:rPr>
              <w:t>Block 2</w:t>
            </w:r>
          </w:p>
        </w:tc>
        <w:tc>
          <w:tcPr>
            <w:tcW w:type="dxa" w:w="2412"/>
            <w:vAlign w:val="center"/>
            <w:shd w:fill="F8FAFC" w:val="clear"/>
          </w:tcPr>
          <w:p>
            <w:pPr>
              <w:jc w:val="center"/>
            </w:pPr>
            <w:r/>
            <w:r>
              <w:rPr>
                <w:color w:val="0F172A"/>
                <w:sz w:val="17"/>
              </w:rPr>
              <w:t>West Khasi Hills &amp; Nongstoin</w:t>
            </w:r>
          </w:p>
        </w:tc>
        <w:tc>
          <w:tcPr>
            <w:tcW w:type="dxa" w:w="2412"/>
            <w:vAlign w:val="center"/>
            <w:shd w:fill="F8FAFC" w:val="clear"/>
          </w:tcPr>
          <w:p>
            <w:pPr>
              <w:jc w:val="center"/>
            </w:pPr>
            <w:r/>
            <w:r>
              <w:rPr>
                <w:color w:val="0F172A"/>
                <w:sz w:val="17"/>
              </w:rPr>
              <w:t>516</w:t>
            </w:r>
          </w:p>
        </w:tc>
        <w:tc>
          <w:tcPr>
            <w:tcW w:type="dxa" w:w="2412"/>
            <w:vAlign w:val="center"/>
            <w:shd w:fill="F8FAFC" w:val="clear"/>
          </w:tcPr>
          <w:p>
            <w:pPr>
              <w:jc w:val="center"/>
            </w:pPr>
            <w:r/>
            <w:r>
              <w:rPr>
                <w:color w:val="0F172A"/>
                <w:sz w:val="17"/>
              </w:rPr>
              <w:t>Model Training &amp; Background Partition</w:t>
            </w:r>
          </w:p>
        </w:tc>
      </w:tr>
      <w:tr>
        <w:tc>
          <w:tcPr>
            <w:tcW w:type="dxa" w:w="2412"/>
            <w:vAlign w:val="center"/>
          </w:tcPr>
          <w:p>
            <w:pPr>
              <w:jc w:val="left"/>
            </w:pPr>
            <w:r/>
            <w:r>
              <w:rPr>
                <w:b/>
                <w:color w:val="0F172A"/>
                <w:sz w:val="17"/>
              </w:rPr>
              <w:t>Block 3</w:t>
            </w:r>
          </w:p>
        </w:tc>
        <w:tc>
          <w:tcPr>
            <w:tcW w:type="dxa" w:w="2412"/>
            <w:vAlign w:val="center"/>
          </w:tcPr>
          <w:p>
            <w:pPr>
              <w:jc w:val="center"/>
            </w:pPr>
            <w:r/>
            <w:r>
              <w:rPr>
                <w:color w:val="0F172A"/>
                <w:sz w:val="17"/>
              </w:rPr>
              <w:t>East Khasi Hills (Shillong Plateau)</w:t>
            </w:r>
          </w:p>
        </w:tc>
        <w:tc>
          <w:tcPr>
            <w:tcW w:type="dxa" w:w="2412"/>
            <w:vAlign w:val="center"/>
          </w:tcPr>
          <w:p>
            <w:pPr>
              <w:jc w:val="center"/>
            </w:pPr>
            <w:r/>
            <w:r>
              <w:rPr>
                <w:color w:val="0F172A"/>
                <w:sz w:val="17"/>
              </w:rPr>
              <w:t>419</w:t>
            </w:r>
          </w:p>
        </w:tc>
        <w:tc>
          <w:tcPr>
            <w:tcW w:type="dxa" w:w="2412"/>
            <w:vAlign w:val="center"/>
          </w:tcPr>
          <w:p>
            <w:pPr>
              <w:jc w:val="center"/>
            </w:pPr>
            <w:r/>
            <w:r>
              <w:rPr>
                <w:color w:val="0F172A"/>
                <w:sz w:val="17"/>
              </w:rPr>
              <w:t>Untouched Primary Holdout Test Set (Zero Leakage)</w:t>
            </w:r>
          </w:p>
        </w:tc>
      </w:tr>
      <w:tr>
        <w:tc>
          <w:tcPr>
            <w:tcW w:type="dxa" w:w="2412"/>
            <w:vAlign w:val="center"/>
            <w:shd w:fill="F8FAFC" w:val="clear"/>
          </w:tcPr>
          <w:p>
            <w:pPr>
              <w:jc w:val="left"/>
            </w:pPr>
            <w:r/>
            <w:r>
              <w:rPr>
                <w:b/>
                <w:color w:val="0F172A"/>
                <w:sz w:val="17"/>
              </w:rPr>
              <w:t>Block 4</w:t>
            </w:r>
          </w:p>
        </w:tc>
        <w:tc>
          <w:tcPr>
            <w:tcW w:type="dxa" w:w="2412"/>
            <w:vAlign w:val="center"/>
            <w:shd w:fill="F8FAFC" w:val="clear"/>
          </w:tcPr>
          <w:p>
            <w:pPr>
              <w:jc w:val="center"/>
            </w:pPr>
            <w:r/>
            <w:r>
              <w:rPr>
                <w:color w:val="0F172A"/>
                <w:sz w:val="17"/>
              </w:rPr>
              <w:t>Ri-Bhoi (Northern Escarpment)</w:t>
            </w:r>
          </w:p>
        </w:tc>
        <w:tc>
          <w:tcPr>
            <w:tcW w:type="dxa" w:w="2412"/>
            <w:vAlign w:val="center"/>
            <w:shd w:fill="F8FAFC" w:val="clear"/>
          </w:tcPr>
          <w:p>
            <w:pPr>
              <w:jc w:val="center"/>
            </w:pPr>
            <w:r/>
            <w:r>
              <w:rPr>
                <w:color w:val="0F172A"/>
                <w:sz w:val="17"/>
              </w:rPr>
              <w:t>715</w:t>
            </w:r>
          </w:p>
        </w:tc>
        <w:tc>
          <w:tcPr>
            <w:tcW w:type="dxa" w:w="2412"/>
            <w:vAlign w:val="center"/>
            <w:shd w:fill="F8FAFC" w:val="clear"/>
          </w:tcPr>
          <w:p>
            <w:pPr>
              <w:jc w:val="center"/>
            </w:pPr>
            <w:r/>
            <w:r>
              <w:rPr>
                <w:color w:val="0F172A"/>
                <w:sz w:val="17"/>
              </w:rPr>
              <w:t>Model Training &amp; Background Partition</w:t>
            </w:r>
          </w:p>
        </w:tc>
      </w:tr>
      <w:tr>
        <w:tc>
          <w:tcPr>
            <w:tcW w:type="dxa" w:w="2412"/>
            <w:vAlign w:val="center"/>
          </w:tcPr>
          <w:p>
            <w:pPr>
              <w:jc w:val="left"/>
            </w:pPr>
            <w:r/>
            <w:r>
              <w:rPr>
                <w:b/>
                <w:color w:val="0F172A"/>
                <w:sz w:val="17"/>
              </w:rPr>
              <w:t>Block 5</w:t>
            </w:r>
          </w:p>
        </w:tc>
        <w:tc>
          <w:tcPr>
            <w:tcW w:type="dxa" w:w="2412"/>
            <w:vAlign w:val="center"/>
          </w:tcPr>
          <w:p>
            <w:pPr>
              <w:jc w:val="center"/>
            </w:pPr>
            <w:r/>
            <w:r>
              <w:rPr>
                <w:color w:val="0F172A"/>
                <w:sz w:val="17"/>
              </w:rPr>
              <w:t>Jaintia Hills (Cretaceous Escarpment)</w:t>
            </w:r>
          </w:p>
        </w:tc>
        <w:tc>
          <w:tcPr>
            <w:tcW w:type="dxa" w:w="2412"/>
            <w:vAlign w:val="center"/>
          </w:tcPr>
          <w:p>
            <w:pPr>
              <w:jc w:val="center"/>
            </w:pPr>
            <w:r/>
            <w:r>
              <w:rPr>
                <w:color w:val="0F172A"/>
                <w:sz w:val="17"/>
              </w:rPr>
              <w:t>469</w:t>
            </w:r>
          </w:p>
        </w:tc>
        <w:tc>
          <w:tcPr>
            <w:tcW w:type="dxa" w:w="2412"/>
            <w:vAlign w:val="center"/>
          </w:tcPr>
          <w:p>
            <w:pPr>
              <w:jc w:val="center"/>
            </w:pPr>
            <w:r/>
            <w:r>
              <w:rPr>
                <w:color w:val="0F172A"/>
                <w:sz w:val="17"/>
              </w:rPr>
              <w:t>Geographic Validation Set (Threshold Tuning)</w:t>
            </w:r>
          </w:p>
        </w:tc>
      </w:tr>
      <w:tr>
        <w:tc>
          <w:tcPr>
            <w:tcW w:type="dxa" w:w="2412"/>
            <w:vAlign w:val="center"/>
            <w:shd w:fill="F8FAFC" w:val="clear"/>
          </w:tcPr>
          <w:p>
            <w:pPr>
              <w:jc w:val="left"/>
            </w:pPr>
            <w:r/>
            <w:r>
              <w:rPr>
                <w:b/>
                <w:color w:val="0F172A"/>
                <w:sz w:val="17"/>
              </w:rPr>
              <w:t>Total Statewide</w:t>
            </w:r>
          </w:p>
        </w:tc>
        <w:tc>
          <w:tcPr>
            <w:tcW w:type="dxa" w:w="2412"/>
            <w:vAlign w:val="center"/>
            <w:shd w:fill="F8FAFC" w:val="clear"/>
          </w:tcPr>
          <w:p>
            <w:pPr>
              <w:jc w:val="center"/>
            </w:pPr>
            <w:r/>
            <w:r>
              <w:rPr>
                <w:color w:val="0F172A"/>
                <w:sz w:val="17"/>
              </w:rPr>
              <w:t>State of Meghalaya</w:t>
            </w:r>
          </w:p>
        </w:tc>
        <w:tc>
          <w:tcPr>
            <w:tcW w:type="dxa" w:w="2412"/>
            <w:vAlign w:val="center"/>
            <w:shd w:fill="F8FAFC" w:val="clear"/>
          </w:tcPr>
          <w:p>
            <w:pPr>
              <w:jc w:val="center"/>
            </w:pPr>
            <w:r/>
            <w:r>
              <w:rPr>
                <w:color w:val="0F172A"/>
                <w:sz w:val="17"/>
              </w:rPr>
              <w:t>3,156</w:t>
            </w:r>
          </w:p>
        </w:tc>
        <w:tc>
          <w:tcPr>
            <w:tcW w:type="dxa" w:w="2412"/>
            <w:vAlign w:val="center"/>
            <w:shd w:fill="F8FAFC" w:val="clear"/>
          </w:tcPr>
          <w:p>
            <w:pPr>
              <w:jc w:val="center"/>
            </w:pPr>
            <w:r/>
            <w:r>
              <w:rPr>
                <w:color w:val="0F172A"/>
                <w:sz w:val="17"/>
              </w:rPr>
              <w:t>Complete Regional Grid Coverage</w:t>
            </w:r>
          </w:p>
        </w:tc>
      </w:tr>
    </w:tbl>
    <w:p/>
    <w:p>
      <w:pPr>
        <w:jc w:val="center"/>
      </w:pPr>
      <w:r>
        <w:drawing>
          <wp:inline xmlns:a="http://schemas.openxmlformats.org/drawingml/2006/main" xmlns:pic="http://schemas.openxmlformats.org/drawingml/2006/picture">
            <wp:extent cx="5029200" cy="3503431"/>
            <wp:docPr id="2" name="Picture 2"/>
            <wp:cNvGraphicFramePr>
              <a:graphicFrameLocks noChangeAspect="1"/>
            </wp:cNvGraphicFramePr>
            <a:graphic>
              <a:graphicData uri="http://schemas.openxmlformats.org/drawingml/2006/picture">
                <pic:pic>
                  <pic:nvPicPr>
                    <pic:cNvPr id="0" name="spatial_blocks.png"/>
                    <pic:cNvPicPr/>
                  </pic:nvPicPr>
                  <pic:blipFill>
                    <a:blip r:embed="rId10"/>
                    <a:stretch>
                      <a:fillRect/>
                    </a:stretch>
                  </pic:blipFill>
                  <pic:spPr>
                    <a:xfrm>
                      <a:off x="0" y="0"/>
                      <a:ext cx="5029200" cy="3503431"/>
                    </a:xfrm>
                    <a:prstGeom prst="rect"/>
                  </pic:spPr>
                </pic:pic>
              </a:graphicData>
            </a:graphic>
          </wp:inline>
        </w:drawing>
      </w:r>
    </w:p>
    <w:p>
      <w:pPr>
        <w:jc w:val="center"/>
      </w:pPr>
      <w:r>
        <w:rPr>
          <w:i/>
          <w:color w:val="64748B"/>
          <w:sz w:val="18"/>
        </w:rPr>
        <w:t>Figure 2: Spatially Disjoint Block Stratification Map — Meghalaya</w:t>
      </w:r>
    </w:p>
    <w:p>
      <w:r>
        <w:br w:type="page"/>
      </w:r>
    </w:p>
    <w:p>
      <w:pPr>
        <w:pStyle w:val="Heading2"/>
      </w:pPr>
      <w:r>
        <w:rPr>
          <w:color w:val="0F172A"/>
        </w:rPr>
        <w:t>3.3 Environmental Feature Engineering (16 Static Predictors)</w:t>
      </w:r>
    </w:p>
    <w:p>
      <w:pPr>
        <w:spacing w:after="120" w:line="300" w:lineRule="exact"/>
      </w:pPr>
      <w:r>
        <w:rPr>
          <w:b w:val="0"/>
          <w:i w:val="0"/>
          <w:color w:val="0F172A"/>
          <w:sz w:val="21"/>
        </w:rPr>
        <w:t>Engineered via Google Earth Engine (gee/01_srtm_features.js, gee/03_environmental_features.js) and Python rasterio/geopandas (src/extract_srtm_terrain.py, src/extract_environmental_features.py):</w:t>
      </w:r>
    </w:p>
    <w:p>
      <w:pPr>
        <w:pStyle w:val="ListNumber"/>
        <w:spacing w:after="60"/>
      </w:pPr>
      <w:r>
        <w:rPr>
          <w:b/>
          <w:sz w:val="20"/>
        </w:rPr>
        <w:t xml:space="preserve">Elevation (m): </w:t>
      </w:r>
      <w:r>
        <w:rPr>
          <w:sz w:val="20"/>
        </w:rPr>
        <w:t>SRTM 30m Digital Elevation Model. Captures orographic elevation bands (50 m – 1,960 m).</w:t>
      </w:r>
    </w:p>
    <w:p>
      <w:pPr>
        <w:pStyle w:val="ListNumber"/>
        <w:spacing w:after="60"/>
      </w:pPr>
      <w:r>
        <w:rPr>
          <w:b/>
          <w:sz w:val="20"/>
        </w:rPr>
        <w:t xml:space="preserve">Slope Angle (°): </w:t>
      </w:r>
      <w:r>
        <w:rPr>
          <w:sz w:val="20"/>
        </w:rPr>
        <w:t>Maximum rate of change in elevation via Horn's method. Primary physical driver of shear stress.</w:t>
      </w:r>
    </w:p>
    <w:p>
      <w:pPr>
        <w:pStyle w:val="ListNumber"/>
        <w:spacing w:after="60"/>
      </w:pPr>
      <w:r>
        <w:rPr>
          <w:b/>
          <w:sz w:val="20"/>
        </w:rPr>
        <w:t xml:space="preserve">Aspect (°): </w:t>
      </w:r>
      <w:r>
        <w:rPr>
          <w:sz w:val="20"/>
        </w:rPr>
        <w:t>Compass direction of slope face, governing moisture retention and prevailing monsoon wind intercept.</w:t>
      </w:r>
    </w:p>
    <w:p>
      <w:pPr>
        <w:pStyle w:val="ListNumber"/>
        <w:spacing w:after="60"/>
      </w:pPr>
      <w:r>
        <w:rPr>
          <w:b/>
          <w:sz w:val="20"/>
        </w:rPr>
        <w:t xml:space="preserve">Plan Curvature (m⁻¹): </w:t>
      </w:r>
      <w:r>
        <w:rPr>
          <w:sz w:val="20"/>
        </w:rPr>
        <w:t>Horizontal slope curvature perpendicular to gradient, indicating flow convergence or divergence.</w:t>
      </w:r>
    </w:p>
    <w:p>
      <w:pPr>
        <w:pStyle w:val="ListNumber"/>
        <w:spacing w:after="60"/>
      </w:pPr>
      <w:r>
        <w:rPr>
          <w:b/>
          <w:sz w:val="20"/>
        </w:rPr>
        <w:t xml:space="preserve">Profile Curvature (m⁻¹): </w:t>
      </w:r>
      <w:r>
        <w:rPr>
          <w:sz w:val="20"/>
        </w:rPr>
        <w:t>Vertical slope curvature parallel to gradient, governing flow acceleration and deceleration.</w:t>
      </w:r>
    </w:p>
    <w:p>
      <w:pPr>
        <w:pStyle w:val="ListNumber"/>
        <w:spacing w:after="60"/>
      </w:pPr>
      <w:r>
        <w:rPr>
          <w:b/>
          <w:sz w:val="20"/>
        </w:rPr>
        <w:t xml:space="preserve">Topographic Wetness Index (TWI): </w:t>
      </w:r>
      <w:r>
        <w:rPr>
          <w:sz w:val="20"/>
        </w:rPr>
        <w:t>ln(a / tan β) where a is specific catchment area and β is slope angle. Identifies pore-water accumulation zones.</w:t>
      </w:r>
    </w:p>
    <w:p>
      <w:pPr>
        <w:pStyle w:val="ListNumber"/>
        <w:spacing w:after="60"/>
      </w:pPr>
      <w:r>
        <w:rPr>
          <w:b/>
          <w:sz w:val="20"/>
        </w:rPr>
        <w:t xml:space="preserve">Stream Power Index (SPI): </w:t>
      </w:r>
      <w:r>
        <w:rPr>
          <w:sz w:val="20"/>
        </w:rPr>
        <w:t>a × tan β. Measures erosive power of overland water flow.</w:t>
      </w:r>
    </w:p>
    <w:p>
      <w:pPr>
        <w:pStyle w:val="ListNumber"/>
        <w:spacing w:after="60"/>
      </w:pPr>
      <w:r>
        <w:rPr>
          <w:b/>
          <w:sz w:val="20"/>
        </w:rPr>
        <w:t xml:space="preserve">Soil Clay Fraction (%): </w:t>
      </w:r>
      <w:r>
        <w:rPr>
          <w:sz w:val="20"/>
        </w:rPr>
        <w:t>SoilGrids 250m depth-averaged fraction (0–30 cm). Dictates plastic limit and impermeable shear plane formation.</w:t>
      </w:r>
    </w:p>
    <w:p>
      <w:pPr>
        <w:pStyle w:val="ListNumber"/>
        <w:spacing w:after="60"/>
      </w:pPr>
      <w:r>
        <w:rPr>
          <w:b/>
          <w:sz w:val="20"/>
        </w:rPr>
        <w:t xml:space="preserve">Soil Sand Fraction (%): </w:t>
      </w:r>
      <w:r>
        <w:rPr>
          <w:sz w:val="20"/>
        </w:rPr>
        <w:t>SoilGrids 250m depth-averaged fraction. Governs drainage conductivity and cohesionless sliding.</w:t>
      </w:r>
    </w:p>
    <w:p>
      <w:pPr>
        <w:pStyle w:val="ListNumber"/>
        <w:spacing w:after="60"/>
      </w:pPr>
      <w:r>
        <w:rPr>
          <w:b/>
          <w:sz w:val="20"/>
        </w:rPr>
        <w:t xml:space="preserve">Soil Bulk Density (cg/cm³): </w:t>
      </w:r>
      <w:r>
        <w:rPr>
          <w:sz w:val="20"/>
        </w:rPr>
        <w:t>Compactness of soil matrix.</w:t>
      </w:r>
    </w:p>
    <w:p>
      <w:pPr>
        <w:pStyle w:val="ListNumber"/>
        <w:spacing w:after="60"/>
      </w:pPr>
      <w:r>
        <w:rPr>
          <w:b/>
          <w:sz w:val="20"/>
        </w:rPr>
        <w:t xml:space="preserve">Soil pH: </w:t>
      </w:r>
      <w:r>
        <w:rPr>
          <w:sz w:val="20"/>
        </w:rPr>
        <w:t>Soil chemical acidity, reflecting leaching and weathering intensity.</w:t>
      </w:r>
    </w:p>
    <w:p>
      <w:pPr>
        <w:pStyle w:val="ListNumber"/>
        <w:spacing w:after="60"/>
      </w:pPr>
      <w:r>
        <w:rPr>
          <w:b/>
          <w:sz w:val="20"/>
        </w:rPr>
        <w:t xml:space="preserve">Distance to Road Cuts (m): </w:t>
      </w:r>
      <w:r>
        <w:rPr>
          <w:sz w:val="20"/>
        </w:rPr>
        <w:t>Euclidean distance to OpenStreetMap road network. Crucial anthropogenic trigger (toe excavation, road overhangs).</w:t>
      </w:r>
    </w:p>
    <w:p>
      <w:pPr>
        <w:pStyle w:val="ListNumber"/>
        <w:spacing w:after="60"/>
      </w:pPr>
      <w:r>
        <w:rPr>
          <w:b/>
          <w:sz w:val="20"/>
        </w:rPr>
        <w:t xml:space="preserve">Distance to Streams (m): </w:t>
      </w:r>
      <w:r>
        <w:rPr>
          <w:sz w:val="20"/>
        </w:rPr>
        <w:t>Euclidean distance to HydroSHEDS drainage channels. Identifies fluvial toe erosion.</w:t>
      </w:r>
    </w:p>
    <w:p>
      <w:pPr>
        <w:pStyle w:val="ListNumber"/>
        <w:spacing w:after="60"/>
      </w:pPr>
      <w:r>
        <w:rPr>
          <w:b/>
          <w:sz w:val="20"/>
        </w:rPr>
        <w:t xml:space="preserve">NDVI Mean: </w:t>
      </w:r>
      <w:r>
        <w:rPr>
          <w:sz w:val="20"/>
        </w:rPr>
        <w:t>Sentinel-2 / Landsat annual mean vegetation density. Low values indicate bare scarps and cleared slopes.</w:t>
      </w:r>
    </w:p>
    <w:p>
      <w:pPr>
        <w:pStyle w:val="ListNumber"/>
        <w:spacing w:after="60"/>
      </w:pPr>
      <w:r>
        <w:rPr>
          <w:b/>
          <w:sz w:val="20"/>
        </w:rPr>
        <w:t xml:space="preserve">Land Cover Code (Categorical): </w:t>
      </w:r>
      <w:r>
        <w:rPr>
          <w:sz w:val="20"/>
        </w:rPr>
        <w:t>ESA WorldCover 10m (forest, cropland, bare, grassland, built-up).</w:t>
      </w:r>
    </w:p>
    <w:p>
      <w:pPr>
        <w:pStyle w:val="ListNumber"/>
        <w:spacing w:after="60"/>
      </w:pPr>
      <w:r>
        <w:rPr>
          <w:b/>
          <w:sz w:val="20"/>
        </w:rPr>
        <w:t xml:space="preserve">Lithology Major (Categorical): </w:t>
      </w:r>
      <w:r>
        <w:rPr>
          <w:sz w:val="20"/>
        </w:rPr>
        <w:t>GSI 1:50,000 lithostratigraphic groups (Precambrian Granite Gneiss, Shillong Quartzite, Tertiary Sandstone/Limestone).</w:t>
      </w:r>
    </w:p>
    <w:p>
      <w:pPr>
        <w:pStyle w:val="Heading2"/>
      </w:pPr>
      <w:r>
        <w:rPr>
          <w:color w:val="0F172A"/>
        </w:rPr>
        <w:t>3.4 Controlled Background Observation Strategy (1:3 Design)</w:t>
      </w:r>
    </w:p>
    <w:p>
      <w:pPr>
        <w:spacing w:after="120" w:line="300" w:lineRule="exact"/>
      </w:pPr>
      <w:r>
        <w:rPr>
          <w:b w:val="0"/>
          <w:i w:val="0"/>
          <w:color w:val="0F172A"/>
          <w:sz w:val="21"/>
        </w:rPr>
        <w:t>To avoid distorting model calibration with unrealistic 1:1 balanced sampling, a controlled 1:3 positive-to-background ratio was enforced:</w:t>
      </w:r>
    </w:p>
    <w:p>
      <w:pPr>
        <w:pStyle w:val="ListBullet"/>
        <w:spacing w:after="60"/>
      </w:pPr>
      <w:r>
        <w:rPr>
          <w:b/>
          <w:color w:val="0F172A"/>
          <w:sz w:val="20"/>
        </w:rPr>
        <w:t xml:space="preserve">Positives: </w:t>
      </w:r>
      <w:r>
        <w:rPr>
          <w:color w:val="0F172A"/>
          <w:sz w:val="20"/>
        </w:rPr>
        <w:t>1,052 verified slope failure points.</w:t>
      </w:r>
    </w:p>
    <w:p>
      <w:pPr>
        <w:pStyle w:val="ListBullet"/>
        <w:spacing w:after="60"/>
      </w:pPr>
      <w:r>
        <w:rPr>
          <w:b/>
          <w:color w:val="0F172A"/>
          <w:sz w:val="20"/>
        </w:rPr>
        <w:t xml:space="preserve">Negatives / Background: </w:t>
      </w:r>
      <w:r>
        <w:rPr>
          <w:color w:val="0F172A"/>
          <w:sz w:val="20"/>
        </w:rPr>
        <w:t>3,156 pseudo-absence points sampled across non-landslide slopes, stratified by slope gradient, elevation, and distance to roads (src/create_pseudo_absences.py, create_pseudo_absences_v2.py).</w:t>
      </w:r>
    </w:p>
    <w:p/>
    <w:p>
      <w:pPr>
        <w:jc w:val="center"/>
      </w:pPr>
      <w:r>
        <w:drawing>
          <wp:inline xmlns:a="http://schemas.openxmlformats.org/drawingml/2006/main" xmlns:pic="http://schemas.openxmlformats.org/drawingml/2006/picture">
            <wp:extent cx="5669280" cy="2443516"/>
            <wp:docPr id="3" name="Picture 3"/>
            <wp:cNvGraphicFramePr>
              <a:graphicFrameLocks noChangeAspect="1"/>
            </wp:cNvGraphicFramePr>
            <a:graphic>
              <a:graphicData uri="http://schemas.openxmlformats.org/drawingml/2006/picture">
                <pic:pic>
                  <pic:nvPicPr>
                    <pic:cNvPr id="0" name="data_pipeline.png"/>
                    <pic:cNvPicPr/>
                  </pic:nvPicPr>
                  <pic:blipFill>
                    <a:blip r:embed="rId11"/>
                    <a:stretch>
                      <a:fillRect/>
                    </a:stretch>
                  </pic:blipFill>
                  <pic:spPr>
                    <a:xfrm>
                      <a:off x="0" y="0"/>
                      <a:ext cx="5669280" cy="2443516"/>
                    </a:xfrm>
                    <a:prstGeom prst="rect"/>
                  </pic:spPr>
                </pic:pic>
              </a:graphicData>
            </a:graphic>
          </wp:inline>
        </w:drawing>
      </w:r>
    </w:p>
    <w:p>
      <w:pPr>
        <w:jc w:val="center"/>
      </w:pPr>
      <w:r>
        <w:rPr>
          <w:i/>
          <w:color w:val="64748B"/>
          <w:sz w:val="18"/>
        </w:rPr>
        <w:t>Figure 3: Data Engineering &amp; Feature Extraction Pipeline</w:t>
      </w:r>
    </w:p>
    <w:p>
      <w:r>
        <w:br w:type="page"/>
      </w:r>
    </w:p>
    <w:p>
      <w:pPr>
        <w:pStyle w:val="Heading1"/>
      </w:pPr>
      <w:r>
        <w:rPr>
          <w:color w:val="0F172A"/>
        </w:rPr>
        <w:t>4. Model A: Static Susceptibility Engineering (Phase 3)</w:t>
      </w:r>
    </w:p>
    <w:p>
      <w:pPr>
        <w:pStyle w:val="Heading2"/>
      </w:pPr>
      <w:r>
        <w:rPr>
          <w:color w:val="0F172A"/>
        </w:rPr>
        <w:t>4.1 Benchmarking &amp; Experimental Design</w:t>
      </w:r>
    </w:p>
    <w:p>
      <w:pPr>
        <w:spacing w:after="120" w:line="300" w:lineRule="exact"/>
      </w:pPr>
      <w:r>
        <w:rPr>
          <w:b w:val="0"/>
          <w:i w:val="0"/>
          <w:color w:val="0F172A"/>
          <w:sz w:val="21"/>
        </w:rPr>
        <w:t>Three experimental regimes were evaluated across Random Forest, XGBoost, and Logistic Regression:</w:t>
      </w:r>
    </w:p>
    <w:p>
      <w:pPr>
        <w:pStyle w:val="ListBullet"/>
        <w:spacing w:after="60"/>
      </w:pPr>
      <w:r>
        <w:rPr>
          <w:b/>
          <w:color w:val="0F172A"/>
          <w:sz w:val="20"/>
        </w:rPr>
        <w:t xml:space="preserve">Experiment A (1:1 Ratio): </w:t>
      </w:r>
      <w:r>
        <w:rPr>
          <w:color w:val="0F172A"/>
          <w:sz w:val="20"/>
        </w:rPr>
        <w:t>1,052 positives + 1,052 negatives (N=2,104).</w:t>
      </w:r>
    </w:p>
    <w:p>
      <w:pPr>
        <w:pStyle w:val="ListBullet"/>
        <w:spacing w:after="60"/>
      </w:pPr>
      <w:r>
        <w:rPr>
          <w:b/>
          <w:color w:val="0F172A"/>
          <w:sz w:val="20"/>
        </w:rPr>
        <w:t xml:space="preserve">Experiment B (1:2 Ratio): </w:t>
      </w:r>
      <w:r>
        <w:rPr>
          <w:color w:val="0F172A"/>
          <w:sz w:val="20"/>
        </w:rPr>
        <w:t>1,052 positives + 2,104 negatives (N=3,156).</w:t>
      </w:r>
    </w:p>
    <w:p>
      <w:pPr>
        <w:pStyle w:val="ListBullet"/>
        <w:spacing w:after="60"/>
      </w:pPr>
      <w:r>
        <w:rPr>
          <w:b/>
          <w:color w:val="0F172A"/>
          <w:sz w:val="20"/>
        </w:rPr>
        <w:t xml:space="preserve">Experiment C (1:3 Ratio): </w:t>
      </w:r>
      <w:r>
        <w:rPr>
          <w:color w:val="0F172A"/>
          <w:sz w:val="20"/>
        </w:rPr>
        <w:t>1,052 positives + 3,156 negatives (N=4,208).</w:t>
      </w:r>
    </w:p>
    <w:p>
      <w:pPr>
        <w:pStyle w:val="Heading2"/>
      </w:pPr>
      <w:r>
        <w:rPr>
          <w:color w:val="0F172A"/>
        </w:rPr>
        <w:t>4.2 Preprocessing Pipeline</w:t>
      </w:r>
    </w:p>
    <w:p>
      <w:pPr>
        <w:spacing w:after="120" w:line="300" w:lineRule="exact"/>
      </w:pPr>
      <w:r>
        <w:rPr>
          <w:b w:val="0"/>
          <w:i w:val="0"/>
          <w:color w:val="0F172A"/>
          <w:sz w:val="21"/>
        </w:rPr>
        <w:t>Built inside a clean, reproducible Scikit-Learn Pipeline:</w:t>
      </w:r>
    </w:p>
    <w:p>
      <w:pPr>
        <w:pStyle w:val="ListBullet"/>
        <w:spacing w:after="60"/>
      </w:pPr>
      <w:r>
        <w:rPr>
          <w:color w:val="0F172A"/>
          <w:sz w:val="20"/>
        </w:rPr>
        <w:t>Categorical columns (landcover_code, lithology_code) encoded via OneHotEncoder(handle_unknown='ignore').</w:t>
      </w:r>
    </w:p>
    <w:p>
      <w:pPr>
        <w:pStyle w:val="ListBullet"/>
        <w:spacing w:after="60"/>
      </w:pPr>
      <w:r>
        <w:rPr>
          <w:color w:val="0F172A"/>
          <w:sz w:val="20"/>
        </w:rPr>
        <w:t>Numerical columns (14 features) standardized via StandardScaler().</w:t>
      </w:r>
    </w:p>
    <w:p>
      <w:pPr>
        <w:pStyle w:val="ListBullet"/>
        <w:spacing w:after="60"/>
      </w:pPr>
      <w:r>
        <w:rPr>
          <w:color w:val="0F172A"/>
          <w:sz w:val="20"/>
        </w:rPr>
        <w:t>Model: RandomForestClassifier(n_estimators=300, max_depth=12, min_samples_split=5, class_weight='balanced', random_state=42).</w:t>
      </w:r>
    </w:p>
    <w:p>
      <w:pPr>
        <w:pStyle w:val="Heading2"/>
      </w:pPr>
      <w:r>
        <w:rPr>
          <w:color w:val="0F172A"/>
        </w:rPr>
        <w:t>4.3 Final Model A Results on Untouched Holdout Test Set (Block 3)</w:t>
      </w:r>
    </w:p>
    <w:p>
      <w:pPr>
        <w:spacing w:after="120" w:line="300" w:lineRule="exact"/>
      </w:pPr>
      <w:r>
        <w:rPr>
          <w:b w:val="0"/>
          <w:i w:val="0"/>
          <w:color w:val="0F172A"/>
          <w:sz w:val="21"/>
        </w:rPr>
        <w:t>Evaluated strictly once on the geographically held-out Shillong Plateau partition (N=756 samples: 337 Positives, 419 Negatives):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1E293B" w:val="clear"/>
          </w:tcPr>
          <w:p>
            <w:pPr>
              <w:jc w:val="center"/>
            </w:pPr>
            <w:r/>
            <w:r>
              <w:rPr>
                <w:b/>
                <w:color w:val="FFFFFF"/>
                <w:sz w:val="18"/>
              </w:rPr>
              <w:t>Metric</w:t>
            </w:r>
          </w:p>
        </w:tc>
        <w:tc>
          <w:tcPr>
            <w:tcW w:type="dxa" w:w="2412"/>
            <w:vAlign w:val="center"/>
            <w:shd w:fill="1E293B" w:val="clear"/>
          </w:tcPr>
          <w:p>
            <w:pPr>
              <w:jc w:val="center"/>
            </w:pPr>
            <w:r/>
            <w:r>
              <w:rPr>
                <w:b/>
                <w:color w:val="FFFFFF"/>
                <w:sz w:val="18"/>
              </w:rPr>
              <w:t>Random Forest (Selected)</w:t>
            </w:r>
          </w:p>
        </w:tc>
        <w:tc>
          <w:tcPr>
            <w:tcW w:type="dxa" w:w="2412"/>
            <w:vAlign w:val="center"/>
            <w:shd w:fill="1E293B" w:val="clear"/>
          </w:tcPr>
          <w:p>
            <w:pPr>
              <w:jc w:val="center"/>
            </w:pPr>
            <w:r/>
            <w:r>
              <w:rPr>
                <w:b/>
                <w:color w:val="FFFFFF"/>
                <w:sz w:val="18"/>
              </w:rPr>
              <w:t>XGBoost Benchmark</w:t>
            </w:r>
          </w:p>
        </w:tc>
        <w:tc>
          <w:tcPr>
            <w:tcW w:type="dxa" w:w="2412"/>
            <w:vAlign w:val="center"/>
            <w:shd w:fill="1E293B" w:val="clear"/>
          </w:tcPr>
          <w:p>
            <w:pPr>
              <w:jc w:val="center"/>
            </w:pPr>
            <w:r/>
            <w:r>
              <w:rPr>
                <w:b/>
                <w:color w:val="FFFFFF"/>
                <w:sz w:val="18"/>
              </w:rPr>
              <w:t>Logistic Regression</w:t>
            </w:r>
          </w:p>
        </w:tc>
      </w:tr>
      <w:tr>
        <w:tc>
          <w:tcPr>
            <w:tcW w:type="dxa" w:w="2412"/>
            <w:vAlign w:val="center"/>
          </w:tcPr>
          <w:p>
            <w:pPr>
              <w:jc w:val="left"/>
            </w:pPr>
            <w:r/>
            <w:r>
              <w:rPr>
                <w:b/>
                <w:color w:val="0F172A"/>
                <w:sz w:val="17"/>
              </w:rPr>
              <w:t>ROC-AUC</w:t>
            </w:r>
          </w:p>
        </w:tc>
        <w:tc>
          <w:tcPr>
            <w:tcW w:type="dxa" w:w="2412"/>
            <w:vAlign w:val="center"/>
          </w:tcPr>
          <w:p>
            <w:pPr>
              <w:jc w:val="center"/>
            </w:pPr>
            <w:r/>
            <w:r>
              <w:rPr>
                <w:b/>
                <w:color w:val="386DB0"/>
                <w:sz w:val="17"/>
              </w:rPr>
              <w:t>0.9882</w:t>
            </w:r>
          </w:p>
        </w:tc>
        <w:tc>
          <w:tcPr>
            <w:tcW w:type="dxa" w:w="2412"/>
            <w:vAlign w:val="center"/>
          </w:tcPr>
          <w:p>
            <w:pPr>
              <w:jc w:val="center"/>
            </w:pPr>
            <w:r/>
            <w:r>
              <w:rPr>
                <w:color w:val="0F172A"/>
                <w:sz w:val="17"/>
              </w:rPr>
              <w:t>0.9854</w:t>
            </w:r>
          </w:p>
        </w:tc>
        <w:tc>
          <w:tcPr>
            <w:tcW w:type="dxa" w:w="2412"/>
            <w:vAlign w:val="center"/>
          </w:tcPr>
          <w:p>
            <w:pPr>
              <w:jc w:val="center"/>
            </w:pPr>
            <w:r/>
            <w:r>
              <w:rPr>
                <w:color w:val="0F172A"/>
                <w:sz w:val="17"/>
              </w:rPr>
              <w:t>0.8412</w:t>
            </w:r>
          </w:p>
        </w:tc>
      </w:tr>
      <w:tr>
        <w:tc>
          <w:tcPr>
            <w:tcW w:type="dxa" w:w="2412"/>
            <w:vAlign w:val="center"/>
            <w:shd w:fill="F8FAFC" w:val="clear"/>
          </w:tcPr>
          <w:p>
            <w:pPr>
              <w:jc w:val="left"/>
            </w:pPr>
            <w:r/>
            <w:r>
              <w:rPr>
                <w:b/>
                <w:color w:val="0F172A"/>
                <w:sz w:val="17"/>
              </w:rPr>
              <w:t>PR-AUC</w:t>
            </w:r>
          </w:p>
        </w:tc>
        <w:tc>
          <w:tcPr>
            <w:tcW w:type="dxa" w:w="2412"/>
            <w:vAlign w:val="center"/>
            <w:shd w:fill="F8FAFC" w:val="clear"/>
          </w:tcPr>
          <w:p>
            <w:pPr>
              <w:jc w:val="center"/>
            </w:pPr>
            <w:r/>
            <w:r>
              <w:rPr>
                <w:b/>
                <w:color w:val="386DB0"/>
                <w:sz w:val="17"/>
              </w:rPr>
              <w:t>0.9884</w:t>
            </w:r>
          </w:p>
        </w:tc>
        <w:tc>
          <w:tcPr>
            <w:tcW w:type="dxa" w:w="2412"/>
            <w:vAlign w:val="center"/>
            <w:shd w:fill="F8FAFC" w:val="clear"/>
          </w:tcPr>
          <w:p>
            <w:pPr>
              <w:jc w:val="center"/>
            </w:pPr>
            <w:r/>
            <w:r>
              <w:rPr>
                <w:color w:val="0F172A"/>
                <w:sz w:val="17"/>
              </w:rPr>
              <w:t>0.9821</w:t>
            </w:r>
          </w:p>
        </w:tc>
        <w:tc>
          <w:tcPr>
            <w:tcW w:type="dxa" w:w="2412"/>
            <w:vAlign w:val="center"/>
            <w:shd w:fill="F8FAFC" w:val="clear"/>
          </w:tcPr>
          <w:p>
            <w:pPr>
              <w:jc w:val="center"/>
            </w:pPr>
            <w:r/>
            <w:r>
              <w:rPr>
                <w:color w:val="0F172A"/>
                <w:sz w:val="17"/>
              </w:rPr>
              <w:t>0.7935</w:t>
            </w:r>
          </w:p>
        </w:tc>
      </w:tr>
      <w:tr>
        <w:tc>
          <w:tcPr>
            <w:tcW w:type="dxa" w:w="2412"/>
            <w:vAlign w:val="center"/>
          </w:tcPr>
          <w:p>
            <w:pPr>
              <w:jc w:val="left"/>
            </w:pPr>
            <w:r/>
            <w:r>
              <w:rPr>
                <w:b/>
                <w:color w:val="0F172A"/>
                <w:sz w:val="17"/>
              </w:rPr>
              <w:t>F1-Score</w:t>
            </w:r>
          </w:p>
        </w:tc>
        <w:tc>
          <w:tcPr>
            <w:tcW w:type="dxa" w:w="2412"/>
            <w:vAlign w:val="center"/>
          </w:tcPr>
          <w:p>
            <w:pPr>
              <w:jc w:val="center"/>
            </w:pPr>
            <w:r/>
            <w:r>
              <w:rPr>
                <w:b/>
                <w:color w:val="386DB0"/>
                <w:sz w:val="17"/>
              </w:rPr>
              <w:t>0.9433</w:t>
            </w:r>
          </w:p>
        </w:tc>
        <w:tc>
          <w:tcPr>
            <w:tcW w:type="dxa" w:w="2412"/>
            <w:vAlign w:val="center"/>
          </w:tcPr>
          <w:p>
            <w:pPr>
              <w:jc w:val="center"/>
            </w:pPr>
            <w:r/>
            <w:r>
              <w:rPr>
                <w:color w:val="0F172A"/>
                <w:sz w:val="17"/>
              </w:rPr>
              <w:t>0.9388</w:t>
            </w:r>
          </w:p>
        </w:tc>
        <w:tc>
          <w:tcPr>
            <w:tcW w:type="dxa" w:w="2412"/>
            <w:vAlign w:val="center"/>
          </w:tcPr>
          <w:p>
            <w:pPr>
              <w:jc w:val="center"/>
            </w:pPr>
            <w:r/>
            <w:r>
              <w:rPr>
                <w:color w:val="0F172A"/>
                <w:sz w:val="17"/>
              </w:rPr>
              <w:t>0.7810</w:t>
            </w:r>
          </w:p>
        </w:tc>
      </w:tr>
      <w:tr>
        <w:tc>
          <w:tcPr>
            <w:tcW w:type="dxa" w:w="2412"/>
            <w:vAlign w:val="center"/>
            <w:shd w:fill="F8FAFC" w:val="clear"/>
          </w:tcPr>
          <w:p>
            <w:pPr>
              <w:jc w:val="left"/>
            </w:pPr>
            <w:r/>
            <w:r>
              <w:rPr>
                <w:b/>
                <w:color w:val="0F172A"/>
                <w:sz w:val="17"/>
              </w:rPr>
              <w:t>Precision</w:t>
            </w:r>
          </w:p>
        </w:tc>
        <w:tc>
          <w:tcPr>
            <w:tcW w:type="dxa" w:w="2412"/>
            <w:vAlign w:val="center"/>
            <w:shd w:fill="F8FAFC" w:val="clear"/>
          </w:tcPr>
          <w:p>
            <w:pPr>
              <w:jc w:val="center"/>
            </w:pPr>
            <w:r/>
            <w:r>
              <w:rPr>
                <w:b/>
                <w:color w:val="386DB0"/>
                <w:sz w:val="17"/>
              </w:rPr>
              <w:t>94.89%</w:t>
            </w:r>
          </w:p>
        </w:tc>
        <w:tc>
          <w:tcPr>
            <w:tcW w:type="dxa" w:w="2412"/>
            <w:vAlign w:val="center"/>
            <w:shd w:fill="F8FAFC" w:val="clear"/>
          </w:tcPr>
          <w:p>
            <w:pPr>
              <w:jc w:val="center"/>
            </w:pPr>
            <w:r/>
            <w:r>
              <w:rPr>
                <w:color w:val="0F172A"/>
                <w:sz w:val="17"/>
              </w:rPr>
              <w:t>94.12%</w:t>
            </w:r>
          </w:p>
        </w:tc>
        <w:tc>
          <w:tcPr>
            <w:tcW w:type="dxa" w:w="2412"/>
            <w:vAlign w:val="center"/>
            <w:shd w:fill="F8FAFC" w:val="clear"/>
          </w:tcPr>
          <w:p>
            <w:pPr>
              <w:jc w:val="center"/>
            </w:pPr>
            <w:r/>
            <w:r>
              <w:rPr>
                <w:color w:val="0F172A"/>
                <w:sz w:val="17"/>
              </w:rPr>
              <w:t>76.50%</w:t>
            </w:r>
          </w:p>
        </w:tc>
      </w:tr>
      <w:tr>
        <w:tc>
          <w:tcPr>
            <w:tcW w:type="dxa" w:w="2412"/>
            <w:vAlign w:val="center"/>
          </w:tcPr>
          <w:p>
            <w:pPr>
              <w:jc w:val="left"/>
            </w:pPr>
            <w:r/>
            <w:r>
              <w:rPr>
                <w:b/>
                <w:color w:val="0F172A"/>
                <w:sz w:val="17"/>
              </w:rPr>
              <w:t>Recall</w:t>
            </w:r>
          </w:p>
        </w:tc>
        <w:tc>
          <w:tcPr>
            <w:tcW w:type="dxa" w:w="2412"/>
            <w:vAlign w:val="center"/>
          </w:tcPr>
          <w:p>
            <w:pPr>
              <w:jc w:val="center"/>
            </w:pPr>
            <w:r/>
            <w:r>
              <w:rPr>
                <w:b/>
                <w:color w:val="386DB0"/>
                <w:sz w:val="17"/>
              </w:rPr>
              <w:t>93.77%</w:t>
            </w:r>
          </w:p>
        </w:tc>
        <w:tc>
          <w:tcPr>
            <w:tcW w:type="dxa" w:w="2412"/>
            <w:vAlign w:val="center"/>
          </w:tcPr>
          <w:p>
            <w:pPr>
              <w:jc w:val="center"/>
            </w:pPr>
            <w:r/>
            <w:r>
              <w:rPr>
                <w:color w:val="0F172A"/>
                <w:sz w:val="17"/>
              </w:rPr>
              <w:t>93.65%</w:t>
            </w:r>
          </w:p>
        </w:tc>
        <w:tc>
          <w:tcPr>
            <w:tcW w:type="dxa" w:w="2412"/>
            <w:vAlign w:val="center"/>
          </w:tcPr>
          <w:p>
            <w:pPr>
              <w:jc w:val="center"/>
            </w:pPr>
            <w:r/>
            <w:r>
              <w:rPr>
                <w:color w:val="0F172A"/>
                <w:sz w:val="17"/>
              </w:rPr>
              <w:t>79.80%</w:t>
            </w:r>
          </w:p>
        </w:tc>
      </w:tr>
      <w:tr>
        <w:tc>
          <w:tcPr>
            <w:tcW w:type="dxa" w:w="2412"/>
            <w:vAlign w:val="center"/>
            <w:shd w:fill="F8FAFC" w:val="clear"/>
          </w:tcPr>
          <w:p>
            <w:pPr>
              <w:jc w:val="left"/>
            </w:pPr>
            <w:r/>
            <w:r>
              <w:rPr>
                <w:b/>
                <w:color w:val="0F172A"/>
                <w:sz w:val="17"/>
              </w:rPr>
              <w:t>Brier Score</w:t>
            </w:r>
          </w:p>
        </w:tc>
        <w:tc>
          <w:tcPr>
            <w:tcW w:type="dxa" w:w="2412"/>
            <w:vAlign w:val="center"/>
            <w:shd w:fill="F8FAFC" w:val="clear"/>
          </w:tcPr>
          <w:p>
            <w:pPr>
              <w:jc w:val="center"/>
            </w:pPr>
            <w:r/>
            <w:r>
              <w:rPr>
                <w:b/>
                <w:color w:val="386DB0"/>
                <w:sz w:val="17"/>
              </w:rPr>
              <w:t>0.0405</w:t>
            </w:r>
          </w:p>
        </w:tc>
        <w:tc>
          <w:tcPr>
            <w:tcW w:type="dxa" w:w="2412"/>
            <w:vAlign w:val="center"/>
            <w:shd w:fill="F8FAFC" w:val="clear"/>
          </w:tcPr>
          <w:p>
            <w:pPr>
              <w:jc w:val="center"/>
            </w:pPr>
            <w:r/>
            <w:r>
              <w:rPr>
                <w:color w:val="0F172A"/>
                <w:sz w:val="17"/>
              </w:rPr>
              <w:t>0.0462</w:t>
            </w:r>
          </w:p>
        </w:tc>
        <w:tc>
          <w:tcPr>
            <w:tcW w:type="dxa" w:w="2412"/>
            <w:vAlign w:val="center"/>
            <w:shd w:fill="F8FAFC" w:val="clear"/>
          </w:tcPr>
          <w:p>
            <w:pPr>
              <w:jc w:val="center"/>
            </w:pPr>
            <w:r/>
            <w:r>
              <w:rPr>
                <w:color w:val="0F172A"/>
                <w:sz w:val="17"/>
              </w:rPr>
              <w:t>0.1420</w:t>
            </w:r>
          </w:p>
        </w:tc>
      </w:tr>
      <w:tr>
        <w:tc>
          <w:tcPr>
            <w:tcW w:type="dxa" w:w="2412"/>
            <w:vAlign w:val="center"/>
          </w:tcPr>
          <w:p>
            <w:pPr>
              <w:jc w:val="left"/>
            </w:pPr>
            <w:r/>
            <w:r>
              <w:rPr>
                <w:b/>
                <w:color w:val="0F172A"/>
                <w:sz w:val="17"/>
              </w:rPr>
              <w:t>Optimal Threshold</w:t>
            </w:r>
          </w:p>
        </w:tc>
        <w:tc>
          <w:tcPr>
            <w:tcW w:type="dxa" w:w="2412"/>
            <w:vAlign w:val="center"/>
          </w:tcPr>
          <w:p>
            <w:pPr>
              <w:jc w:val="center"/>
            </w:pPr>
            <w:r/>
            <w:r>
              <w:rPr>
                <w:b/>
                <w:color w:val="386DB0"/>
                <w:sz w:val="17"/>
              </w:rPr>
              <w:t>0.2487</w:t>
            </w:r>
          </w:p>
        </w:tc>
        <w:tc>
          <w:tcPr>
            <w:tcW w:type="dxa" w:w="2412"/>
            <w:vAlign w:val="center"/>
          </w:tcPr>
          <w:p>
            <w:pPr>
              <w:jc w:val="center"/>
            </w:pPr>
            <w:r/>
            <w:r>
              <w:rPr>
                <w:color w:val="0F172A"/>
                <w:sz w:val="17"/>
              </w:rPr>
              <w:t>0.2510</w:t>
            </w:r>
          </w:p>
        </w:tc>
        <w:tc>
          <w:tcPr>
            <w:tcW w:type="dxa" w:w="2412"/>
            <w:vAlign w:val="center"/>
          </w:tcPr>
          <w:p>
            <w:pPr>
              <w:jc w:val="center"/>
            </w:pPr>
            <w:r/>
            <w:r>
              <w:rPr>
                <w:color w:val="0F172A"/>
                <w:sz w:val="17"/>
              </w:rPr>
              <w:t>0.5000</w:t>
            </w:r>
          </w:p>
        </w:tc>
      </w:tr>
    </w:tbl>
    <w:p/>
    <w:p>
      <w:pPr>
        <w:pStyle w:val="ListBullet"/>
        <w:spacing w:after="60"/>
      </w:pPr>
      <w:r>
        <w:rPr>
          <w:b/>
          <w:color w:val="0F172A"/>
          <w:sz w:val="20"/>
        </w:rPr>
        <w:t xml:space="preserve">Frozen Production Model A: </w:t>
      </w:r>
      <w:r>
        <w:rPr>
          <w:color w:val="0F172A"/>
          <w:sz w:val="20"/>
        </w:rPr>
        <w:t>models/expC_random_forest.joblib</w:t>
      </w:r>
    </w:p>
    <w:p>
      <w:pPr>
        <w:pStyle w:val="ListBullet"/>
        <w:spacing w:after="60"/>
      </w:pPr>
      <w:r>
        <w:rPr>
          <w:b/>
          <w:color w:val="0F172A"/>
          <w:sz w:val="20"/>
        </w:rPr>
        <w:t xml:space="preserve">Cryptographic SHA-256: </w:t>
      </w:r>
      <w:r>
        <w:rPr>
          <w:color w:val="0F172A"/>
          <w:sz w:val="20"/>
        </w:rPr>
        <w:t>1691cd678c2a9184cf608a9db0e464daee1e9daf237fd2c387b6d936685d5631</w:t>
      </w:r>
    </w:p>
    <w:p>
      <w:r>
        <w:br w:type="page"/>
      </w:r>
    </w:p>
    <w:p>
      <w:pPr>
        <w:pStyle w:val="Heading1"/>
      </w:pPr>
      <w:r>
        <w:rPr>
          <w:color w:val="0F172A"/>
        </w:rPr>
        <w:t>5. Model B: Dynamic Rainfall Trigger Engineering (Phase 3c)</w:t>
      </w:r>
    </w:p>
    <w:p>
      <w:pPr>
        <w:pStyle w:val="Heading2"/>
      </w:pPr>
      <w:r>
        <w:rPr>
          <w:color w:val="0F172A"/>
        </w:rPr>
        <w:t>5.1 CHIRPS Satellite Telemetry &amp; Predictor Design</w:t>
      </w:r>
    </w:p>
    <w:p>
      <w:pPr>
        <w:spacing w:after="120" w:line="300" w:lineRule="exact"/>
      </w:pPr>
      <w:r>
        <w:rPr>
          <w:b w:val="0"/>
          <w:i w:val="0"/>
          <w:color w:val="0F172A"/>
          <w:sz w:val="21"/>
        </w:rPr>
        <w:t>Model B assesses the meteorological triggering probability by extracting 10 antecedent and instantaneous precipitation metrics from daily CHIRPS 0.05° resolution data:</w:t>
      </w:r>
    </w:p>
    <w:p>
      <w:pPr>
        <w:pStyle w:val="ListNumber"/>
        <w:spacing w:after="60"/>
      </w:pPr>
      <w:r>
        <w:rPr>
          <w:b/>
          <w:sz w:val="20"/>
        </w:rPr>
        <w:t xml:space="preserve">rainfall_event_day (P₀ in mm): </w:t>
      </w:r>
      <w:r>
        <w:rPr>
          <w:sz w:val="20"/>
        </w:rPr>
        <w:t>Total rainfall on the day of the landslide or observation.</w:t>
      </w:r>
    </w:p>
    <w:p>
      <w:pPr>
        <w:pStyle w:val="ListNumber"/>
        <w:spacing w:after="60"/>
      </w:pPr>
      <w:r>
        <w:rPr>
          <w:b/>
          <w:sz w:val="20"/>
        </w:rPr>
        <w:t xml:space="preserve">ari_3 (mm): </w:t>
      </w:r>
      <w:r>
        <w:rPr>
          <w:sz w:val="20"/>
        </w:rPr>
        <w:t>3-day Antecedent Rainfall Index with decay factor α=0.84: ARI_k = Σ(i=1 to k) α^i × P_i</w:t>
      </w:r>
    </w:p>
    <w:p>
      <w:pPr>
        <w:pStyle w:val="ListNumber"/>
        <w:spacing w:after="60"/>
      </w:pPr>
      <w:r>
        <w:rPr>
          <w:b/>
          <w:sz w:val="20"/>
        </w:rPr>
        <w:t xml:space="preserve">ari_7 (mm): </w:t>
      </w:r>
      <w:r>
        <w:rPr>
          <w:sz w:val="20"/>
        </w:rPr>
        <w:t>7-day Antecedent Rainfall Index (short-term soil saturation).</w:t>
      </w:r>
    </w:p>
    <w:p>
      <w:pPr>
        <w:pStyle w:val="ListNumber"/>
        <w:spacing w:after="60"/>
      </w:pPr>
      <w:r>
        <w:rPr>
          <w:b/>
          <w:sz w:val="20"/>
        </w:rPr>
        <w:t xml:space="preserve">ari_15 (mm): </w:t>
      </w:r>
      <w:r>
        <w:rPr>
          <w:sz w:val="20"/>
        </w:rPr>
        <w:t>15-day Antecedent Rainfall Index (intermediate pore-pressure buildup).</w:t>
      </w:r>
    </w:p>
    <w:p>
      <w:pPr>
        <w:pStyle w:val="ListNumber"/>
        <w:spacing w:after="60"/>
      </w:pPr>
      <w:r>
        <w:rPr>
          <w:b/>
          <w:sz w:val="20"/>
        </w:rPr>
        <w:t xml:space="preserve">ari_30 (mm): </w:t>
      </w:r>
      <w:r>
        <w:rPr>
          <w:sz w:val="20"/>
        </w:rPr>
        <w:t>30-day Antecedent Rainfall Index (deep groundwater table elevation).</w:t>
      </w:r>
    </w:p>
    <w:p>
      <w:pPr>
        <w:pStyle w:val="ListNumber"/>
        <w:spacing w:after="60"/>
      </w:pPr>
      <w:r>
        <w:rPr>
          <w:b/>
          <w:sz w:val="20"/>
        </w:rPr>
        <w:t xml:space="preserve">max_1day_7d (mm): </w:t>
      </w:r>
      <w:r>
        <w:rPr>
          <w:sz w:val="20"/>
        </w:rPr>
        <w:t>Maximum single-day rainfall recorded within the preceding 7 days.</w:t>
      </w:r>
    </w:p>
    <w:p>
      <w:pPr>
        <w:pStyle w:val="ListNumber"/>
        <w:spacing w:after="60"/>
      </w:pPr>
      <w:r>
        <w:rPr>
          <w:b/>
          <w:sz w:val="20"/>
        </w:rPr>
        <w:t xml:space="preserve">max_3day_30d (mm): </w:t>
      </w:r>
      <w:r>
        <w:rPr>
          <w:sz w:val="20"/>
        </w:rPr>
        <w:t>Maximum consecutive 3-day rainfall burst recorded within the preceding 30 days.</w:t>
      </w:r>
    </w:p>
    <w:p>
      <w:pPr>
        <w:pStyle w:val="ListNumber"/>
        <w:spacing w:after="60"/>
      </w:pPr>
      <w:r>
        <w:rPr>
          <w:b/>
          <w:sz w:val="20"/>
        </w:rPr>
        <w:t xml:space="preserve">rainy_days_7d (count 0–7): </w:t>
      </w:r>
      <w:r>
        <w:rPr>
          <w:sz w:val="20"/>
        </w:rPr>
        <w:t>Number of days with rainfall &gt; 2.5 mm in the last 7 days.</w:t>
      </w:r>
    </w:p>
    <w:p>
      <w:pPr>
        <w:pStyle w:val="ListNumber"/>
        <w:spacing w:after="60"/>
      </w:pPr>
      <w:r>
        <w:rPr>
          <w:b/>
          <w:sz w:val="20"/>
        </w:rPr>
        <w:t xml:space="preserve">rainy_days_15d (count 0–15): </w:t>
      </w:r>
      <w:r>
        <w:rPr>
          <w:sz w:val="20"/>
        </w:rPr>
        <w:t>Number of rainy days in the last 15 days.</w:t>
      </w:r>
    </w:p>
    <w:p>
      <w:pPr>
        <w:pStyle w:val="ListNumber"/>
        <w:spacing w:after="60"/>
      </w:pPr>
      <w:r>
        <w:rPr>
          <w:b/>
          <w:sz w:val="20"/>
        </w:rPr>
        <w:t xml:space="preserve">rainy_days_30d (count 0–30): </w:t>
      </w:r>
      <w:r>
        <w:rPr>
          <w:sz w:val="20"/>
        </w:rPr>
        <w:t>Number of rainy days in the last 30 days.</w:t>
      </w:r>
    </w:p>
    <w:p>
      <w:pPr>
        <w:spacing w:before="240" w:after="240"/>
        <w:jc w:val="center"/>
      </w:pPr>
      <w:r>
        <w:rPr>
          <w:rFonts w:ascii="Cambria Math" w:hAnsi="Cambria Math"/>
          <w:b/>
          <w:color w:val="386DB0"/>
          <w:sz w:val="24"/>
        </w:rPr>
        <w:t>ARI_k = Σ(i=1 to k) α^i × P_i    (α = 0.84)</w:t>
      </w:r>
      <w:r>
        <w:rPr>
          <w:i/>
          <w:color w:val="64748B"/>
          <w:sz w:val="18"/>
        </w:rPr>
        <w:t xml:space="preserve">    (Eq. 2)</w:t>
      </w:r>
    </w:p>
    <w:p>
      <w:pPr>
        <w:pStyle w:val="Heading2"/>
      </w:pPr>
      <w:r>
        <w:rPr>
          <w:color w:val="0F172A"/>
        </w:rPr>
        <w:t>5.2 Leakage Auditing &amp; Controlled Sampling</w:t>
      </w:r>
    </w:p>
    <w:p>
      <w:pPr>
        <w:pStyle w:val="ListBullet"/>
        <w:spacing w:after="60"/>
      </w:pPr>
      <w:r>
        <w:rPr>
          <w:b/>
          <w:color w:val="0F172A"/>
          <w:sz w:val="20"/>
        </w:rPr>
        <w:t xml:space="preserve">Temporal Strictness: </w:t>
      </w:r>
      <w:r>
        <w:rPr>
          <w:color w:val="0F172A"/>
          <w:sz w:val="20"/>
        </w:rPr>
        <w:t>Antecedent windows are strictly calculated prior to and on the event date. No future lookahead is permitted.</w:t>
      </w:r>
    </w:p>
    <w:p>
      <w:pPr>
        <w:pStyle w:val="ListBullet"/>
        <w:spacing w:after="60"/>
      </w:pPr>
      <w:r>
        <w:rPr>
          <w:b/>
          <w:color w:val="0F172A"/>
          <w:sz w:val="20"/>
        </w:rPr>
        <w:t xml:space="preserve">Controlled Observation Matrix: </w:t>
      </w:r>
      <w:r>
        <w:rPr>
          <w:color w:val="0F172A"/>
          <w:sz w:val="20"/>
        </w:rPr>
        <w:t>186 field events across 2007–2026 paired with 558 spatio-temporally matched background observations sampled during active monsoon months across non-failure coordinate-dates.</w:t>
      </w:r>
    </w:p>
    <w:p>
      <w:pPr>
        <w:pStyle w:val="Heading2"/>
      </w:pPr>
      <w:r>
        <w:rPr>
          <w:color w:val="0F172A"/>
        </w:rPr>
        <w:t>5.3 Algorithmic Training &amp; Calibration</w:t>
      </w:r>
    </w:p>
    <w:p>
      <w:pPr>
        <w:spacing w:after="120" w:line="300" w:lineRule="exact"/>
      </w:pPr>
      <w:r>
        <w:rPr>
          <w:b w:val="0"/>
          <w:i w:val="0"/>
          <w:color w:val="0F172A"/>
          <w:sz w:val="21"/>
        </w:rPr>
        <w:t>Model: HistGradientBoostingClassifier(max_iter=100, max_depth=4, min_samples_leaf=15, learning_rate=0.05, l2_regularization=1.0, random_state=42).</w:t>
      </w:r>
    </w:p>
    <w:p>
      <w:pPr>
        <w:pStyle w:val="Heading2"/>
      </w:pPr>
      <w:r>
        <w:rPr>
          <w:color w:val="0F172A"/>
        </w:rPr>
        <w:t>5.4 Model B Performance &amp; Calibrated Scenarios</w:t>
      </w:r>
    </w:p>
    <w:p>
      <w:pPr>
        <w:pStyle w:val="ListBullet"/>
        <w:spacing w:after="60"/>
      </w:pPr>
      <w:r>
        <w:rPr>
          <w:b/>
          <w:color w:val="0F172A"/>
          <w:sz w:val="20"/>
        </w:rPr>
        <w:t xml:space="preserve">Validation Partition (Block 5 Jaintia Hills): </w:t>
      </w:r>
      <w:r>
        <w:rPr>
          <w:color w:val="0F172A"/>
          <w:sz w:val="20"/>
        </w:rPr>
        <w:t>ROC-AUC: 0.8447, PR-AUC: 0.6225, Recall: 81.08%, Optimal Cutoff: T_opt = 0.2000.</w:t>
      </w:r>
    </w:p>
    <w:p>
      <w:pPr>
        <w:pStyle w:val="ListBullet"/>
        <w:spacing w:after="60"/>
      </w:pPr>
      <w:r>
        <w:rPr>
          <w:b/>
          <w:color w:val="0F172A"/>
          <w:sz w:val="20"/>
        </w:rPr>
        <w:t xml:space="preserve">Untouched Holdout (Block 3 East Khasi): </w:t>
      </w:r>
      <w:r>
        <w:rPr>
          <w:color w:val="0F172A"/>
          <w:sz w:val="20"/>
        </w:rPr>
        <w:t>ROC-AUC: 0.7653, PR-AUC: 0.6631, Recall: 66.67%.</w:t>
      </w:r>
    </w:p>
    <w:p>
      <w:pPr>
        <w:pStyle w:val="ListBullet"/>
        <w:spacing w:after="60"/>
      </w:pPr>
      <w:r>
        <w:rPr>
          <w:b/>
          <w:color w:val="0F172A"/>
          <w:sz w:val="20"/>
        </w:rPr>
        <w:t xml:space="preserve">Frozen Production Model B: </w:t>
      </w:r>
      <w:r>
        <w:rPr>
          <w:color w:val="0F172A"/>
          <w:sz w:val="20"/>
        </w:rPr>
        <w:t>models/modelB_production_pipeline.joblib</w:t>
      </w:r>
    </w:p>
    <w:p>
      <w:pPr>
        <w:pStyle w:val="ListBullet"/>
        <w:spacing w:after="60"/>
      </w:pPr>
      <w:r>
        <w:rPr>
          <w:b/>
          <w:color w:val="0F172A"/>
          <w:sz w:val="20"/>
        </w:rPr>
        <w:t xml:space="preserve">Cryptographic SHA-256: </w:t>
      </w:r>
      <w:r>
        <w:rPr>
          <w:color w:val="0F172A"/>
          <w:sz w:val="20"/>
        </w:rPr>
        <w:t>e30aacc2f83eaca410a9a782089300ef1e920dd21051c042385d6159d97318f2</w:t>
      </w:r>
    </w:p>
    <w:p/>
    <w:p>
      <w:pPr>
        <w:spacing w:after="120" w:line="300" w:lineRule="exact"/>
      </w:pPr>
      <w:r>
        <w:rPr>
          <w:b/>
          <w:i w:val="0"/>
          <w:color w:val="0F172A"/>
          <w:sz w:val="21"/>
        </w:rPr>
        <w:t>Calibrated Meteorological Presets Output by Model B:</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vAlign w:val="center"/>
            <w:shd w:fill="1E293B" w:val="clear"/>
          </w:tcPr>
          <w:p>
            <w:pPr>
              <w:jc w:val="center"/>
            </w:pPr>
            <w:r/>
            <w:r>
              <w:rPr>
                <w:b/>
                <w:color w:val="FFFFFF"/>
                <w:sz w:val="18"/>
              </w:rPr>
              <w:t>Meteorological Scenario</w:t>
            </w:r>
          </w:p>
        </w:tc>
        <w:tc>
          <w:tcPr>
            <w:tcW w:type="dxa" w:w="1206"/>
            <w:vAlign w:val="center"/>
            <w:shd w:fill="1E293B" w:val="clear"/>
          </w:tcPr>
          <w:p>
            <w:pPr>
              <w:jc w:val="center"/>
            </w:pPr>
            <w:r/>
            <w:r>
              <w:rPr>
                <w:b/>
                <w:color w:val="FFFFFF"/>
                <w:sz w:val="18"/>
              </w:rPr>
              <w:t>P₀ (24h Rain)</w:t>
            </w:r>
          </w:p>
        </w:tc>
        <w:tc>
          <w:tcPr>
            <w:tcW w:type="dxa" w:w="1206"/>
            <w:vAlign w:val="center"/>
            <w:shd w:fill="1E293B" w:val="clear"/>
          </w:tcPr>
          <w:p>
            <w:pPr>
              <w:jc w:val="center"/>
            </w:pPr>
            <w:r/>
            <w:r>
              <w:rPr>
                <w:b/>
                <w:color w:val="FFFFFF"/>
                <w:sz w:val="18"/>
              </w:rPr>
              <w:t>ARI₃</w:t>
            </w:r>
          </w:p>
        </w:tc>
        <w:tc>
          <w:tcPr>
            <w:tcW w:type="dxa" w:w="1206"/>
            <w:vAlign w:val="center"/>
            <w:shd w:fill="1E293B" w:val="clear"/>
          </w:tcPr>
          <w:p>
            <w:pPr>
              <w:jc w:val="center"/>
            </w:pPr>
            <w:r/>
            <w:r>
              <w:rPr>
                <w:b/>
                <w:color w:val="FFFFFF"/>
                <w:sz w:val="18"/>
              </w:rPr>
              <w:t>ARI₇</w:t>
            </w:r>
          </w:p>
        </w:tc>
        <w:tc>
          <w:tcPr>
            <w:tcW w:type="dxa" w:w="1206"/>
            <w:vAlign w:val="center"/>
            <w:shd w:fill="1E293B" w:val="clear"/>
          </w:tcPr>
          <w:p>
            <w:pPr>
              <w:jc w:val="center"/>
            </w:pPr>
            <w:r/>
            <w:r>
              <w:rPr>
                <w:b/>
                <w:color w:val="FFFFFF"/>
                <w:sz w:val="18"/>
              </w:rPr>
              <w:t>ARI₃₀</w:t>
            </w:r>
          </w:p>
        </w:tc>
        <w:tc>
          <w:tcPr>
            <w:tcW w:type="dxa" w:w="1206"/>
            <w:vAlign w:val="center"/>
            <w:shd w:fill="1E293B" w:val="clear"/>
          </w:tcPr>
          <w:p>
            <w:pPr>
              <w:jc w:val="center"/>
            </w:pPr>
            <w:r/>
            <w:r>
              <w:rPr>
                <w:b/>
                <w:color w:val="FFFFFF"/>
                <w:sz w:val="18"/>
              </w:rPr>
              <w:t>Rainy Days (7d)</w:t>
            </w:r>
          </w:p>
        </w:tc>
        <w:tc>
          <w:tcPr>
            <w:tcW w:type="dxa" w:w="1206"/>
            <w:vAlign w:val="center"/>
            <w:shd w:fill="1E293B" w:val="clear"/>
          </w:tcPr>
          <w:p>
            <w:pPr>
              <w:jc w:val="center"/>
            </w:pPr>
            <w:r/>
            <w:r>
              <w:rPr>
                <w:b/>
                <w:color w:val="FFFFFF"/>
                <w:sz w:val="18"/>
              </w:rPr>
              <w:t>P(D) Output</w:t>
            </w:r>
          </w:p>
        </w:tc>
        <w:tc>
          <w:tcPr>
            <w:tcW w:type="dxa" w:w="1206"/>
            <w:vAlign w:val="center"/>
            <w:shd w:fill="1E293B" w:val="clear"/>
          </w:tcPr>
          <w:p>
            <w:pPr>
              <w:jc w:val="center"/>
            </w:pPr>
            <w:r/>
            <w:r>
              <w:rPr>
                <w:b/>
                <w:color w:val="FFFFFF"/>
                <w:sz w:val="18"/>
              </w:rPr>
              <w:t>Trigger State</w:t>
            </w:r>
          </w:p>
        </w:tc>
      </w:tr>
      <w:tr>
        <w:tc>
          <w:tcPr>
            <w:tcW w:type="dxa" w:w="1206"/>
            <w:vAlign w:val="center"/>
          </w:tcPr>
          <w:p>
            <w:pPr>
              <w:jc w:val="left"/>
            </w:pPr>
            <w:r/>
            <w:r>
              <w:rPr>
                <w:b/>
                <w:color w:val="0F172A"/>
                <w:sz w:val="17"/>
              </w:rPr>
              <w:t>Dry Season (Baseline)</w:t>
            </w:r>
          </w:p>
        </w:tc>
        <w:tc>
          <w:tcPr>
            <w:tcW w:type="dxa" w:w="1206"/>
            <w:vAlign w:val="center"/>
          </w:tcPr>
          <w:p>
            <w:pPr>
              <w:jc w:val="center"/>
            </w:pPr>
            <w:r/>
            <w:r>
              <w:rPr>
                <w:color w:val="0F172A"/>
                <w:sz w:val="17"/>
              </w:rPr>
              <w:t>0.0 mm</w:t>
            </w:r>
          </w:p>
        </w:tc>
        <w:tc>
          <w:tcPr>
            <w:tcW w:type="dxa" w:w="1206"/>
            <w:vAlign w:val="center"/>
          </w:tcPr>
          <w:p>
            <w:pPr>
              <w:jc w:val="center"/>
            </w:pPr>
            <w:r/>
            <w:r>
              <w:rPr>
                <w:color w:val="0F172A"/>
                <w:sz w:val="17"/>
              </w:rPr>
              <w:t>0.0 mm</w:t>
            </w:r>
          </w:p>
        </w:tc>
        <w:tc>
          <w:tcPr>
            <w:tcW w:type="dxa" w:w="1206"/>
            <w:vAlign w:val="center"/>
          </w:tcPr>
          <w:p>
            <w:pPr>
              <w:jc w:val="center"/>
            </w:pPr>
            <w:r/>
            <w:r>
              <w:rPr>
                <w:color w:val="0F172A"/>
                <w:sz w:val="17"/>
              </w:rPr>
              <w:t>0.0 mm</w:t>
            </w:r>
          </w:p>
        </w:tc>
        <w:tc>
          <w:tcPr>
            <w:tcW w:type="dxa" w:w="1206"/>
            <w:vAlign w:val="center"/>
          </w:tcPr>
          <w:p>
            <w:pPr>
              <w:jc w:val="center"/>
            </w:pPr>
            <w:r/>
            <w:r>
              <w:rPr>
                <w:color w:val="0F172A"/>
                <w:sz w:val="17"/>
              </w:rPr>
              <w:t>5.0 mm</w:t>
            </w:r>
          </w:p>
        </w:tc>
        <w:tc>
          <w:tcPr>
            <w:tcW w:type="dxa" w:w="1206"/>
            <w:vAlign w:val="center"/>
          </w:tcPr>
          <w:p>
            <w:pPr>
              <w:jc w:val="center"/>
            </w:pPr>
            <w:r/>
            <w:r>
              <w:rPr>
                <w:color w:val="0F172A"/>
                <w:sz w:val="17"/>
              </w:rPr>
              <w:t>0 days</w:t>
            </w:r>
          </w:p>
        </w:tc>
        <w:tc>
          <w:tcPr>
            <w:tcW w:type="dxa" w:w="1206"/>
            <w:vAlign w:val="center"/>
          </w:tcPr>
          <w:p>
            <w:pPr>
              <w:jc w:val="center"/>
            </w:pPr>
            <w:r/>
            <w:r>
              <w:rPr>
                <w:color w:val="0F172A"/>
                <w:sz w:val="17"/>
              </w:rPr>
              <w:t>0.0189</w:t>
            </w:r>
          </w:p>
        </w:tc>
        <w:tc>
          <w:tcPr>
            <w:tcW w:type="dxa" w:w="1206"/>
            <w:vAlign w:val="center"/>
          </w:tcPr>
          <w:p>
            <w:pPr>
              <w:jc w:val="center"/>
            </w:pPr>
            <w:r/>
            <w:r>
              <w:rPr>
                <w:color w:val="0F172A"/>
                <w:sz w:val="17"/>
              </w:rPr>
              <w:t>Dormant (&lt; 0.20)</w:t>
            </w:r>
          </w:p>
        </w:tc>
      </w:tr>
      <w:tr>
        <w:tc>
          <w:tcPr>
            <w:tcW w:type="dxa" w:w="1206"/>
            <w:vAlign w:val="center"/>
            <w:shd w:fill="F8FAFC" w:val="clear"/>
          </w:tcPr>
          <w:p>
            <w:pPr>
              <w:jc w:val="left"/>
            </w:pPr>
            <w:r/>
            <w:r>
              <w:rPr>
                <w:b/>
                <w:color w:val="0F172A"/>
                <w:sz w:val="17"/>
              </w:rPr>
              <w:t>Moderate Monsoon</w:t>
            </w:r>
          </w:p>
        </w:tc>
        <w:tc>
          <w:tcPr>
            <w:tcW w:type="dxa" w:w="1206"/>
            <w:vAlign w:val="center"/>
            <w:shd w:fill="F8FAFC" w:val="clear"/>
          </w:tcPr>
          <w:p>
            <w:pPr>
              <w:jc w:val="center"/>
            </w:pPr>
            <w:r/>
            <w:r>
              <w:rPr>
                <w:color w:val="0F172A"/>
                <w:sz w:val="17"/>
              </w:rPr>
              <w:t>20.0 mm</w:t>
            </w:r>
          </w:p>
        </w:tc>
        <w:tc>
          <w:tcPr>
            <w:tcW w:type="dxa" w:w="1206"/>
            <w:vAlign w:val="center"/>
            <w:shd w:fill="F8FAFC" w:val="clear"/>
          </w:tcPr>
          <w:p>
            <w:pPr>
              <w:jc w:val="center"/>
            </w:pPr>
            <w:r/>
            <w:r>
              <w:rPr>
                <w:color w:val="0F172A"/>
                <w:sz w:val="17"/>
              </w:rPr>
              <w:t>35.0 mm</w:t>
            </w:r>
          </w:p>
        </w:tc>
        <w:tc>
          <w:tcPr>
            <w:tcW w:type="dxa" w:w="1206"/>
            <w:vAlign w:val="center"/>
            <w:shd w:fill="F8FAFC" w:val="clear"/>
          </w:tcPr>
          <w:p>
            <w:pPr>
              <w:jc w:val="center"/>
            </w:pPr>
            <w:r/>
            <w:r>
              <w:rPr>
                <w:color w:val="0F172A"/>
                <w:sz w:val="17"/>
              </w:rPr>
              <w:t>70.0 mm</w:t>
            </w:r>
          </w:p>
        </w:tc>
        <w:tc>
          <w:tcPr>
            <w:tcW w:type="dxa" w:w="1206"/>
            <w:vAlign w:val="center"/>
            <w:shd w:fill="F8FAFC" w:val="clear"/>
          </w:tcPr>
          <w:p>
            <w:pPr>
              <w:jc w:val="center"/>
            </w:pPr>
            <w:r/>
            <w:r>
              <w:rPr>
                <w:color w:val="0F172A"/>
                <w:sz w:val="17"/>
              </w:rPr>
              <w:t>200.0 mm</w:t>
            </w:r>
          </w:p>
        </w:tc>
        <w:tc>
          <w:tcPr>
            <w:tcW w:type="dxa" w:w="1206"/>
            <w:vAlign w:val="center"/>
            <w:shd w:fill="F8FAFC" w:val="clear"/>
          </w:tcPr>
          <w:p>
            <w:pPr>
              <w:jc w:val="center"/>
            </w:pPr>
            <w:r/>
            <w:r>
              <w:rPr>
                <w:color w:val="0F172A"/>
                <w:sz w:val="17"/>
              </w:rPr>
              <w:t>3 days</w:t>
            </w:r>
          </w:p>
        </w:tc>
        <w:tc>
          <w:tcPr>
            <w:tcW w:type="dxa" w:w="1206"/>
            <w:vAlign w:val="center"/>
            <w:shd w:fill="F8FAFC" w:val="clear"/>
          </w:tcPr>
          <w:p>
            <w:pPr>
              <w:jc w:val="center"/>
            </w:pPr>
            <w:r/>
            <w:r>
              <w:rPr>
                <w:color w:val="0F172A"/>
                <w:sz w:val="17"/>
              </w:rPr>
              <w:t>0.0240</w:t>
            </w:r>
          </w:p>
        </w:tc>
        <w:tc>
          <w:tcPr>
            <w:tcW w:type="dxa" w:w="1206"/>
            <w:vAlign w:val="center"/>
            <w:shd w:fill="F8FAFC" w:val="clear"/>
          </w:tcPr>
          <w:p>
            <w:pPr>
              <w:jc w:val="center"/>
            </w:pPr>
            <w:r/>
            <w:r>
              <w:rPr>
                <w:color w:val="0F172A"/>
                <w:sz w:val="17"/>
              </w:rPr>
              <w:t>Baseline Saturation</w:t>
            </w:r>
          </w:p>
        </w:tc>
      </w:tr>
      <w:tr>
        <w:tc>
          <w:tcPr>
            <w:tcW w:type="dxa" w:w="1206"/>
            <w:vAlign w:val="center"/>
          </w:tcPr>
          <w:p>
            <w:pPr>
              <w:jc w:val="left"/>
            </w:pPr>
            <w:r/>
            <w:r>
              <w:rPr>
                <w:b/>
                <w:color w:val="0F172A"/>
                <w:sz w:val="17"/>
              </w:rPr>
              <w:t>Active Monsoon Surge</w:t>
            </w:r>
          </w:p>
        </w:tc>
        <w:tc>
          <w:tcPr>
            <w:tcW w:type="dxa" w:w="1206"/>
            <w:vAlign w:val="center"/>
          </w:tcPr>
          <w:p>
            <w:pPr>
              <w:jc w:val="center"/>
            </w:pPr>
            <w:r/>
            <w:r>
              <w:rPr>
                <w:color w:val="0F172A"/>
                <w:sz w:val="17"/>
              </w:rPr>
              <w:t>45.0 mm</w:t>
            </w:r>
          </w:p>
        </w:tc>
        <w:tc>
          <w:tcPr>
            <w:tcW w:type="dxa" w:w="1206"/>
            <w:vAlign w:val="center"/>
          </w:tcPr>
          <w:p>
            <w:pPr>
              <w:jc w:val="center"/>
            </w:pPr>
            <w:r/>
            <w:r>
              <w:rPr>
                <w:color w:val="0F172A"/>
                <w:sz w:val="17"/>
              </w:rPr>
              <w:t>110.0 mm</w:t>
            </w:r>
          </w:p>
        </w:tc>
        <w:tc>
          <w:tcPr>
            <w:tcW w:type="dxa" w:w="1206"/>
            <w:vAlign w:val="center"/>
          </w:tcPr>
          <w:p>
            <w:pPr>
              <w:jc w:val="center"/>
            </w:pPr>
            <w:r/>
            <w:r>
              <w:rPr>
                <w:color w:val="0F172A"/>
                <w:sz w:val="17"/>
              </w:rPr>
              <w:t>180.0 mm</w:t>
            </w:r>
          </w:p>
        </w:tc>
        <w:tc>
          <w:tcPr>
            <w:tcW w:type="dxa" w:w="1206"/>
            <w:vAlign w:val="center"/>
          </w:tcPr>
          <w:p>
            <w:pPr>
              <w:jc w:val="center"/>
            </w:pPr>
            <w:r/>
            <w:r>
              <w:rPr>
                <w:color w:val="0F172A"/>
                <w:sz w:val="17"/>
              </w:rPr>
              <w:t>520.0 mm</w:t>
            </w:r>
          </w:p>
        </w:tc>
        <w:tc>
          <w:tcPr>
            <w:tcW w:type="dxa" w:w="1206"/>
            <w:vAlign w:val="center"/>
          </w:tcPr>
          <w:p>
            <w:pPr>
              <w:jc w:val="center"/>
            </w:pPr>
            <w:r/>
            <w:r>
              <w:rPr>
                <w:color w:val="0F172A"/>
                <w:sz w:val="17"/>
              </w:rPr>
              <w:t>5 days</w:t>
            </w:r>
          </w:p>
        </w:tc>
        <w:tc>
          <w:tcPr>
            <w:tcW w:type="dxa" w:w="1206"/>
            <w:vAlign w:val="center"/>
          </w:tcPr>
          <w:p>
            <w:pPr>
              <w:jc w:val="center"/>
            </w:pPr>
            <w:r/>
            <w:r>
              <w:rPr>
                <w:color w:val="0F172A"/>
                <w:sz w:val="17"/>
              </w:rPr>
              <w:t>0.6284</w:t>
            </w:r>
          </w:p>
        </w:tc>
        <w:tc>
          <w:tcPr>
            <w:tcW w:type="dxa" w:w="1206"/>
            <w:vAlign w:val="center"/>
          </w:tcPr>
          <w:p>
            <w:pPr>
              <w:jc w:val="center"/>
            </w:pPr>
            <w:r/>
            <w:r>
              <w:rPr>
                <w:color w:val="0F172A"/>
                <w:sz w:val="17"/>
              </w:rPr>
              <w:t>Critical (≥ 0.50)</w:t>
            </w:r>
          </w:p>
        </w:tc>
      </w:tr>
      <w:tr>
        <w:tc>
          <w:tcPr>
            <w:tcW w:type="dxa" w:w="1206"/>
            <w:vAlign w:val="center"/>
            <w:shd w:fill="F8FAFC" w:val="clear"/>
          </w:tcPr>
          <w:p>
            <w:pPr>
              <w:jc w:val="left"/>
            </w:pPr>
            <w:r/>
            <w:r>
              <w:rPr>
                <w:b/>
                <w:color w:val="0F172A"/>
                <w:sz w:val="17"/>
              </w:rPr>
              <w:t>Extreme Cloudburst</w:t>
            </w:r>
          </w:p>
        </w:tc>
        <w:tc>
          <w:tcPr>
            <w:tcW w:type="dxa" w:w="1206"/>
            <w:vAlign w:val="center"/>
            <w:shd w:fill="F8FAFC" w:val="clear"/>
          </w:tcPr>
          <w:p>
            <w:pPr>
              <w:jc w:val="center"/>
            </w:pPr>
            <w:r/>
            <w:r>
              <w:rPr>
                <w:color w:val="0F172A"/>
                <w:sz w:val="17"/>
              </w:rPr>
              <w:t>85.0 mm</w:t>
            </w:r>
          </w:p>
        </w:tc>
        <w:tc>
          <w:tcPr>
            <w:tcW w:type="dxa" w:w="1206"/>
            <w:vAlign w:val="center"/>
            <w:shd w:fill="F8FAFC" w:val="clear"/>
          </w:tcPr>
          <w:p>
            <w:pPr>
              <w:jc w:val="center"/>
            </w:pPr>
            <w:r/>
            <w:r>
              <w:rPr>
                <w:color w:val="0F172A"/>
                <w:sz w:val="17"/>
              </w:rPr>
              <w:t>180.0 mm</w:t>
            </w:r>
          </w:p>
        </w:tc>
        <w:tc>
          <w:tcPr>
            <w:tcW w:type="dxa" w:w="1206"/>
            <w:vAlign w:val="center"/>
            <w:shd w:fill="F8FAFC" w:val="clear"/>
          </w:tcPr>
          <w:p>
            <w:pPr>
              <w:jc w:val="center"/>
            </w:pPr>
            <w:r/>
            <w:r>
              <w:rPr>
                <w:color w:val="0F172A"/>
                <w:sz w:val="17"/>
              </w:rPr>
              <w:t>290.0 mm</w:t>
            </w:r>
          </w:p>
        </w:tc>
        <w:tc>
          <w:tcPr>
            <w:tcW w:type="dxa" w:w="1206"/>
            <w:vAlign w:val="center"/>
            <w:shd w:fill="F8FAFC" w:val="clear"/>
          </w:tcPr>
          <w:p>
            <w:pPr>
              <w:jc w:val="center"/>
            </w:pPr>
            <w:r/>
            <w:r>
              <w:rPr>
                <w:color w:val="0F172A"/>
                <w:sz w:val="17"/>
              </w:rPr>
              <w:t>780.0 mm</w:t>
            </w:r>
          </w:p>
        </w:tc>
        <w:tc>
          <w:tcPr>
            <w:tcW w:type="dxa" w:w="1206"/>
            <w:vAlign w:val="center"/>
            <w:shd w:fill="F8FAFC" w:val="clear"/>
          </w:tcPr>
          <w:p>
            <w:pPr>
              <w:jc w:val="center"/>
            </w:pPr>
            <w:r/>
            <w:r>
              <w:rPr>
                <w:color w:val="0F172A"/>
                <w:sz w:val="17"/>
              </w:rPr>
              <w:t>6 days</w:t>
            </w:r>
          </w:p>
        </w:tc>
        <w:tc>
          <w:tcPr>
            <w:tcW w:type="dxa" w:w="1206"/>
            <w:vAlign w:val="center"/>
            <w:shd w:fill="F8FAFC" w:val="clear"/>
          </w:tcPr>
          <w:p>
            <w:pPr>
              <w:jc w:val="center"/>
            </w:pPr>
            <w:r/>
            <w:r>
              <w:rPr>
                <w:color w:val="0F172A"/>
                <w:sz w:val="17"/>
              </w:rPr>
              <w:t>0.7477</w:t>
            </w:r>
          </w:p>
        </w:tc>
        <w:tc>
          <w:tcPr>
            <w:tcW w:type="dxa" w:w="1206"/>
            <w:vAlign w:val="center"/>
            <w:shd w:fill="F8FAFC" w:val="clear"/>
          </w:tcPr>
          <w:p>
            <w:pPr>
              <w:jc w:val="center"/>
            </w:pPr>
            <w:r/>
            <w:r>
              <w:rPr>
                <w:color w:val="0F172A"/>
                <w:sz w:val="17"/>
              </w:rPr>
              <w:t>Severe (≥ 0.50)</w:t>
            </w:r>
          </w:p>
        </w:tc>
      </w:tr>
    </w:tbl>
    <w:p>
      <w:r>
        <w:br w:type="page"/>
      </w:r>
    </w:p>
    <w:p>
      <w:pPr>
        <w:pStyle w:val="Heading1"/>
      </w:pPr>
      <w:r>
        <w:rPr>
          <w:color w:val="0F172A"/>
        </w:rPr>
        <w:t>6. Phase 4: Controlled Coupling Experiment &amp; Formulation (Section 32)</w:t>
      </w:r>
    </w:p>
    <w:p>
      <w:pPr>
        <w:pStyle w:val="Heading2"/>
      </w:pPr>
      <w:r>
        <w:rPr>
          <w:color w:val="0F172A"/>
        </w:rPr>
        <w:t>6.1 Benchmark of Coupling Formulations (Validation Set Block 5)</w:t>
      </w:r>
    </w:p>
    <w:p>
      <w:pPr>
        <w:spacing w:after="120" w:line="300" w:lineRule="exact"/>
      </w:pPr>
      <w:r>
        <w:rPr>
          <w:b w:val="0"/>
          <w:i w:val="0"/>
          <w:color w:val="0F172A"/>
          <w:sz w:val="21"/>
        </w:rPr>
        <w:t>Three distinct mathematical coupling mechanisms were benchmarked to fuse P(S) and P(D):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shd w:fill="1E293B" w:val="clear"/>
          </w:tcPr>
          <w:p>
            <w:pPr>
              <w:jc w:val="center"/>
            </w:pPr>
            <w:r/>
            <w:r>
              <w:rPr>
                <w:b/>
                <w:color w:val="FFFFFF"/>
                <w:sz w:val="18"/>
              </w:rPr>
              <w:t>Coupling Method</w:t>
            </w:r>
          </w:p>
        </w:tc>
        <w:tc>
          <w:tcPr>
            <w:tcW w:type="dxa" w:w="1608"/>
            <w:vAlign w:val="center"/>
            <w:shd w:fill="1E293B" w:val="clear"/>
          </w:tcPr>
          <w:p>
            <w:pPr>
              <w:jc w:val="center"/>
            </w:pPr>
            <w:r/>
            <w:r>
              <w:rPr>
                <w:b/>
                <w:color w:val="FFFFFF"/>
                <w:sz w:val="18"/>
              </w:rPr>
              <w:t>Formula</w:t>
            </w:r>
          </w:p>
        </w:tc>
        <w:tc>
          <w:tcPr>
            <w:tcW w:type="dxa" w:w="1608"/>
            <w:vAlign w:val="center"/>
            <w:shd w:fill="1E293B" w:val="clear"/>
          </w:tcPr>
          <w:p>
            <w:pPr>
              <w:jc w:val="center"/>
            </w:pPr>
            <w:r/>
            <w:r>
              <w:rPr>
                <w:b/>
                <w:color w:val="FFFFFF"/>
                <w:sz w:val="18"/>
              </w:rPr>
              <w:t>ROC-AUC</w:t>
            </w:r>
          </w:p>
        </w:tc>
        <w:tc>
          <w:tcPr>
            <w:tcW w:type="dxa" w:w="1608"/>
            <w:vAlign w:val="center"/>
            <w:shd w:fill="1E293B" w:val="clear"/>
          </w:tcPr>
          <w:p>
            <w:pPr>
              <w:jc w:val="center"/>
            </w:pPr>
            <w:r/>
            <w:r>
              <w:rPr>
                <w:b/>
                <w:color w:val="FFFFFF"/>
                <w:sz w:val="18"/>
              </w:rPr>
              <w:t>PR-AUC</w:t>
            </w:r>
          </w:p>
        </w:tc>
        <w:tc>
          <w:tcPr>
            <w:tcW w:type="dxa" w:w="1608"/>
            <w:vAlign w:val="center"/>
            <w:shd w:fill="1E293B" w:val="clear"/>
          </w:tcPr>
          <w:p>
            <w:pPr>
              <w:jc w:val="center"/>
            </w:pPr>
            <w:r/>
            <w:r>
              <w:rPr>
                <w:b/>
                <w:color w:val="FFFFFF"/>
                <w:sz w:val="18"/>
              </w:rPr>
              <w:t>F1-Score</w:t>
            </w:r>
          </w:p>
        </w:tc>
        <w:tc>
          <w:tcPr>
            <w:tcW w:type="dxa" w:w="1608"/>
            <w:vAlign w:val="center"/>
            <w:shd w:fill="1E293B" w:val="clear"/>
          </w:tcPr>
          <w:p>
            <w:pPr>
              <w:jc w:val="center"/>
            </w:pPr>
            <w:r/>
            <w:r>
              <w:rPr>
                <w:b/>
                <w:color w:val="FFFFFF"/>
                <w:sz w:val="18"/>
              </w:rPr>
              <w:t>Status</w:t>
            </w:r>
          </w:p>
        </w:tc>
      </w:tr>
      <w:tr>
        <w:tc>
          <w:tcPr>
            <w:tcW w:type="dxa" w:w="1608"/>
            <w:vAlign w:val="center"/>
          </w:tcPr>
          <w:p>
            <w:pPr>
              <w:jc w:val="left"/>
            </w:pPr>
            <w:r/>
            <w:r>
              <w:rPr>
                <w:b/>
                <w:color w:val="0F172A"/>
                <w:sz w:val="17"/>
              </w:rPr>
              <w:t>Multiplicative</w:t>
            </w:r>
          </w:p>
        </w:tc>
        <w:tc>
          <w:tcPr>
            <w:tcW w:type="dxa" w:w="1608"/>
            <w:vAlign w:val="center"/>
          </w:tcPr>
          <w:p>
            <w:pPr>
              <w:jc w:val="center"/>
            </w:pPr>
            <w:r/>
            <w:r>
              <w:rPr>
                <w:color w:val="0F172A"/>
                <w:sz w:val="17"/>
              </w:rPr>
              <w:t>Risk = P(S) × P(D)</w:t>
            </w:r>
          </w:p>
        </w:tc>
        <w:tc>
          <w:tcPr>
            <w:tcW w:type="dxa" w:w="1608"/>
            <w:vAlign w:val="center"/>
          </w:tcPr>
          <w:p>
            <w:pPr>
              <w:jc w:val="center"/>
            </w:pPr>
            <w:r/>
            <w:r>
              <w:rPr>
                <w:color w:val="0F172A"/>
                <w:sz w:val="17"/>
              </w:rPr>
              <w:t>0.9830</w:t>
            </w:r>
          </w:p>
        </w:tc>
        <w:tc>
          <w:tcPr>
            <w:tcW w:type="dxa" w:w="1608"/>
            <w:vAlign w:val="center"/>
          </w:tcPr>
          <w:p>
            <w:pPr>
              <w:jc w:val="center"/>
            </w:pPr>
            <w:r/>
            <w:r>
              <w:rPr>
                <w:color w:val="0F172A"/>
                <w:sz w:val="17"/>
              </w:rPr>
              <w:t>0.9583</w:t>
            </w:r>
          </w:p>
        </w:tc>
        <w:tc>
          <w:tcPr>
            <w:tcW w:type="dxa" w:w="1608"/>
            <w:vAlign w:val="center"/>
          </w:tcPr>
          <w:p>
            <w:pPr>
              <w:jc w:val="center"/>
            </w:pPr>
            <w:r/>
            <w:r>
              <w:rPr>
                <w:color w:val="0F172A"/>
                <w:sz w:val="17"/>
              </w:rPr>
              <w:t>0.9091</w:t>
            </w:r>
          </w:p>
        </w:tc>
        <w:tc>
          <w:tcPr>
            <w:tcW w:type="dxa" w:w="1608"/>
            <w:vAlign w:val="center"/>
          </w:tcPr>
          <w:p>
            <w:pPr>
              <w:jc w:val="center"/>
            </w:pPr>
            <w:r/>
            <w:r>
              <w:rPr>
                <w:b/>
                <w:color w:val="386DB0"/>
                <w:sz w:val="17"/>
              </w:rPr>
              <w:t>SELECTED ✓</w:t>
            </w:r>
          </w:p>
        </w:tc>
      </w:tr>
      <w:tr>
        <w:tc>
          <w:tcPr>
            <w:tcW w:type="dxa" w:w="1608"/>
            <w:vAlign w:val="center"/>
            <w:shd w:fill="F8FAFC" w:val="clear"/>
          </w:tcPr>
          <w:p>
            <w:pPr>
              <w:jc w:val="left"/>
            </w:pPr>
            <w:r/>
            <w:r>
              <w:rPr>
                <w:b/>
                <w:color w:val="0F172A"/>
                <w:sz w:val="17"/>
              </w:rPr>
              <w:t>Geometric Mean</w:t>
            </w:r>
          </w:p>
        </w:tc>
        <w:tc>
          <w:tcPr>
            <w:tcW w:type="dxa" w:w="1608"/>
            <w:vAlign w:val="center"/>
            <w:shd w:fill="F8FAFC" w:val="clear"/>
          </w:tcPr>
          <w:p>
            <w:pPr>
              <w:jc w:val="center"/>
            </w:pPr>
            <w:r/>
            <w:r>
              <w:rPr>
                <w:color w:val="0F172A"/>
                <w:sz w:val="17"/>
              </w:rPr>
              <w:t>Risk = √(P(S) × P(D))</w:t>
            </w:r>
          </w:p>
        </w:tc>
        <w:tc>
          <w:tcPr>
            <w:tcW w:type="dxa" w:w="1608"/>
            <w:vAlign w:val="center"/>
            <w:shd w:fill="F8FAFC" w:val="clear"/>
          </w:tcPr>
          <w:p>
            <w:pPr>
              <w:jc w:val="center"/>
            </w:pPr>
            <w:r/>
            <w:r>
              <w:rPr>
                <w:color w:val="0F172A"/>
                <w:sz w:val="17"/>
              </w:rPr>
              <w:t>0.9830</w:t>
            </w:r>
          </w:p>
        </w:tc>
        <w:tc>
          <w:tcPr>
            <w:tcW w:type="dxa" w:w="1608"/>
            <w:vAlign w:val="center"/>
            <w:shd w:fill="F8FAFC" w:val="clear"/>
          </w:tcPr>
          <w:p>
            <w:pPr>
              <w:jc w:val="center"/>
            </w:pPr>
            <w:r/>
            <w:r>
              <w:rPr>
                <w:color w:val="0F172A"/>
                <w:sz w:val="17"/>
              </w:rPr>
              <w:t>0.9583</w:t>
            </w:r>
          </w:p>
        </w:tc>
        <w:tc>
          <w:tcPr>
            <w:tcW w:type="dxa" w:w="1608"/>
            <w:vAlign w:val="center"/>
            <w:shd w:fill="F8FAFC" w:val="clear"/>
          </w:tcPr>
          <w:p>
            <w:pPr>
              <w:jc w:val="center"/>
            </w:pPr>
            <w:r/>
            <w:r>
              <w:rPr>
                <w:color w:val="0F172A"/>
                <w:sz w:val="17"/>
              </w:rPr>
              <w:t>0.9091</w:t>
            </w:r>
          </w:p>
        </w:tc>
        <w:tc>
          <w:tcPr>
            <w:tcW w:type="dxa" w:w="1608"/>
            <w:vAlign w:val="center"/>
            <w:shd w:fill="F8FAFC" w:val="clear"/>
          </w:tcPr>
          <w:p>
            <w:pPr>
              <w:jc w:val="center"/>
            </w:pPr>
            <w:r/>
            <w:r>
              <w:rPr>
                <w:b/>
                <w:color w:val="386DB0"/>
                <w:sz w:val="17"/>
              </w:rPr>
              <w:t>Equivalent</w:t>
            </w:r>
          </w:p>
        </w:tc>
      </w:tr>
      <w:tr>
        <w:tc>
          <w:tcPr>
            <w:tcW w:type="dxa" w:w="1608"/>
            <w:vAlign w:val="center"/>
          </w:tcPr>
          <w:p>
            <w:pPr>
              <w:jc w:val="left"/>
            </w:pPr>
            <w:r/>
            <w:r>
              <w:rPr>
                <w:b/>
                <w:color w:val="0F172A"/>
                <w:sz w:val="17"/>
              </w:rPr>
              <w:t>Minimum Operator</w:t>
            </w:r>
          </w:p>
        </w:tc>
        <w:tc>
          <w:tcPr>
            <w:tcW w:type="dxa" w:w="1608"/>
            <w:vAlign w:val="center"/>
          </w:tcPr>
          <w:p>
            <w:pPr>
              <w:jc w:val="center"/>
            </w:pPr>
            <w:r/>
            <w:r>
              <w:rPr>
                <w:color w:val="0F172A"/>
                <w:sz w:val="17"/>
              </w:rPr>
              <w:t>Risk = min(P(S), P(D))</w:t>
            </w:r>
          </w:p>
        </w:tc>
        <w:tc>
          <w:tcPr>
            <w:tcW w:type="dxa" w:w="1608"/>
            <w:vAlign w:val="center"/>
          </w:tcPr>
          <w:p>
            <w:pPr>
              <w:jc w:val="center"/>
            </w:pPr>
            <w:r/>
            <w:r>
              <w:rPr>
                <w:color w:val="0F172A"/>
                <w:sz w:val="17"/>
              </w:rPr>
              <w:t>0.9601</w:t>
            </w:r>
          </w:p>
        </w:tc>
        <w:tc>
          <w:tcPr>
            <w:tcW w:type="dxa" w:w="1608"/>
            <w:vAlign w:val="center"/>
          </w:tcPr>
          <w:p>
            <w:pPr>
              <w:jc w:val="center"/>
            </w:pPr>
            <w:r/>
            <w:r>
              <w:rPr>
                <w:color w:val="0F172A"/>
                <w:sz w:val="17"/>
              </w:rPr>
              <w:t>0.9075</w:t>
            </w:r>
          </w:p>
        </w:tc>
        <w:tc>
          <w:tcPr>
            <w:tcW w:type="dxa" w:w="1608"/>
            <w:vAlign w:val="center"/>
          </w:tcPr>
          <w:p>
            <w:pPr>
              <w:jc w:val="center"/>
            </w:pPr>
            <w:r/>
            <w:r>
              <w:rPr>
                <w:color w:val="0F172A"/>
                <w:sz w:val="17"/>
              </w:rPr>
              <w:t>0.8500</w:t>
            </w:r>
          </w:p>
        </w:tc>
        <w:tc>
          <w:tcPr>
            <w:tcW w:type="dxa" w:w="1608"/>
            <w:vAlign w:val="center"/>
          </w:tcPr>
          <w:p>
            <w:pPr>
              <w:jc w:val="center"/>
            </w:pPr>
            <w:r/>
            <w:r>
              <w:rPr>
                <w:b/>
                <w:color w:val="386DB0"/>
                <w:sz w:val="17"/>
              </w:rPr>
              <w:t>Inferior</w:t>
            </w:r>
          </w:p>
        </w:tc>
      </w:tr>
    </w:tbl>
    <w:p/>
    <w:p>
      <w:pPr>
        <w:jc w:val="center"/>
      </w:pPr>
      <w:r>
        <w:drawing>
          <wp:inline xmlns:a="http://schemas.openxmlformats.org/drawingml/2006/main" xmlns:pic="http://schemas.openxmlformats.org/drawingml/2006/picture">
            <wp:extent cx="5486400" cy="3145120"/>
            <wp:docPr id="4" name="Picture 4"/>
            <wp:cNvGraphicFramePr>
              <a:graphicFrameLocks noChangeAspect="1"/>
            </wp:cNvGraphicFramePr>
            <a:graphic>
              <a:graphicData uri="http://schemas.openxmlformats.org/drawingml/2006/picture">
                <pic:pic>
                  <pic:nvPicPr>
                    <pic:cNvPr id="0" name="coupling_mechanism.png"/>
                    <pic:cNvPicPr/>
                  </pic:nvPicPr>
                  <pic:blipFill>
                    <a:blip r:embed="rId12"/>
                    <a:stretch>
                      <a:fillRect/>
                    </a:stretch>
                  </pic:blipFill>
                  <pic:spPr>
                    <a:xfrm>
                      <a:off x="0" y="0"/>
                      <a:ext cx="5486400" cy="3145120"/>
                    </a:xfrm>
                    <a:prstGeom prst="rect"/>
                  </pic:spPr>
                </pic:pic>
              </a:graphicData>
            </a:graphic>
          </wp:inline>
        </w:drawing>
      </w:r>
    </w:p>
    <w:p>
      <w:pPr>
        <w:jc w:val="center"/>
      </w:pPr>
      <w:r>
        <w:rPr>
          <w:i/>
          <w:color w:val="64748B"/>
          <w:sz w:val="18"/>
        </w:rPr>
        <w:t>Figure 4: Dual-Model Multiplicative Coupling Mechanism</w:t>
      </w:r>
    </w:p>
    <w:p>
      <w:r>
        <w:br w:type="page"/>
      </w:r>
    </w:p>
    <w:p>
      <w:pPr>
        <w:pStyle w:val="Heading2"/>
      </w:pPr>
      <w:r>
        <w:rPr>
          <w:color w:val="0F172A"/>
        </w:rPr>
        <w:t>6.2 Retrospective Holdout Proof (Block 3 East Khasi | N=180)</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1E293B" w:val="clear"/>
          </w:tcPr>
          <w:p>
            <w:pPr>
              <w:jc w:val="center"/>
            </w:pPr>
            <w:r/>
            <w:r>
              <w:rPr>
                <w:b/>
                <w:color w:val="FFFFFF"/>
                <w:sz w:val="18"/>
              </w:rPr>
              <w:t>Evaluation Metric</w:t>
            </w:r>
          </w:p>
        </w:tc>
        <w:tc>
          <w:tcPr>
            <w:tcW w:type="dxa" w:w="1930"/>
            <w:vAlign w:val="center"/>
            <w:shd w:fill="1E293B" w:val="clear"/>
          </w:tcPr>
          <w:p>
            <w:pPr>
              <w:jc w:val="center"/>
            </w:pPr>
            <w:r/>
            <w:r>
              <w:rPr>
                <w:b/>
                <w:color w:val="FFFFFF"/>
                <w:sz w:val="18"/>
              </w:rPr>
              <w:t>Model B Alone</w:t>
              <w:br/>
              <w:t>(Rainfall Only)</w:t>
            </w:r>
          </w:p>
        </w:tc>
        <w:tc>
          <w:tcPr>
            <w:tcW w:type="dxa" w:w="1930"/>
            <w:vAlign w:val="center"/>
            <w:shd w:fill="1E293B" w:val="clear"/>
          </w:tcPr>
          <w:p>
            <w:pPr>
              <w:jc w:val="center"/>
            </w:pPr>
            <w:r/>
            <w:r>
              <w:rPr>
                <w:b/>
                <w:color w:val="FFFFFF"/>
                <w:sz w:val="18"/>
              </w:rPr>
              <w:t>Model A Alone</w:t>
              <w:br/>
              <w:t>(Static Only)</w:t>
            </w:r>
          </w:p>
        </w:tc>
        <w:tc>
          <w:tcPr>
            <w:tcW w:type="dxa" w:w="1930"/>
            <w:vAlign w:val="center"/>
            <w:shd w:fill="1E293B" w:val="clear"/>
          </w:tcPr>
          <w:p>
            <w:pPr>
              <w:jc w:val="center"/>
            </w:pPr>
            <w:r/>
            <w:r>
              <w:rPr>
                <w:b/>
                <w:color w:val="FFFFFF"/>
                <w:sz w:val="18"/>
              </w:rPr>
              <w:t>Coupled A×B</w:t>
            </w:r>
          </w:p>
        </w:tc>
        <w:tc>
          <w:tcPr>
            <w:tcW w:type="dxa" w:w="1930"/>
            <w:vAlign w:val="center"/>
            <w:shd w:fill="1E293B" w:val="clear"/>
          </w:tcPr>
          <w:p>
            <w:pPr>
              <w:jc w:val="center"/>
            </w:pPr>
            <w:r/>
            <w:r>
              <w:rPr>
                <w:b/>
                <w:color w:val="FFFFFF"/>
                <w:sz w:val="18"/>
              </w:rPr>
              <w:t>Improvement</w:t>
            </w:r>
          </w:p>
        </w:tc>
      </w:tr>
      <w:tr>
        <w:tc>
          <w:tcPr>
            <w:tcW w:type="dxa" w:w="1930"/>
            <w:vAlign w:val="center"/>
          </w:tcPr>
          <w:p>
            <w:pPr>
              <w:jc w:val="left"/>
            </w:pPr>
            <w:r/>
            <w:r>
              <w:rPr>
                <w:b/>
                <w:color w:val="0F172A"/>
                <w:sz w:val="17"/>
              </w:rPr>
              <w:t>ROC-AUC</w:t>
            </w:r>
          </w:p>
        </w:tc>
        <w:tc>
          <w:tcPr>
            <w:tcW w:type="dxa" w:w="1930"/>
            <w:vAlign w:val="center"/>
          </w:tcPr>
          <w:p>
            <w:pPr>
              <w:jc w:val="center"/>
            </w:pPr>
            <w:r/>
            <w:r>
              <w:rPr>
                <w:color w:val="0F172A"/>
                <w:sz w:val="17"/>
              </w:rPr>
              <w:t>0.7653</w:t>
            </w:r>
          </w:p>
        </w:tc>
        <w:tc>
          <w:tcPr>
            <w:tcW w:type="dxa" w:w="1930"/>
            <w:vAlign w:val="center"/>
          </w:tcPr>
          <w:p>
            <w:pPr>
              <w:jc w:val="center"/>
            </w:pPr>
            <w:r/>
            <w:r>
              <w:rPr>
                <w:color w:val="0F172A"/>
                <w:sz w:val="17"/>
              </w:rPr>
              <w:t>0.9931</w:t>
            </w:r>
          </w:p>
        </w:tc>
        <w:tc>
          <w:tcPr>
            <w:tcW w:type="dxa" w:w="1930"/>
            <w:vAlign w:val="center"/>
          </w:tcPr>
          <w:p>
            <w:pPr>
              <w:jc w:val="center"/>
            </w:pPr>
            <w:r/>
            <w:r>
              <w:rPr>
                <w:b/>
                <w:color w:val="386DB0"/>
                <w:sz w:val="17"/>
              </w:rPr>
              <w:t>0.9526</w:t>
            </w:r>
          </w:p>
        </w:tc>
        <w:tc>
          <w:tcPr>
            <w:tcW w:type="dxa" w:w="1930"/>
            <w:vAlign w:val="center"/>
          </w:tcPr>
          <w:p>
            <w:pPr>
              <w:jc w:val="center"/>
            </w:pPr>
            <w:r/>
            <w:r>
              <w:rPr>
                <w:color w:val="0F172A"/>
                <w:sz w:val="17"/>
              </w:rPr>
              <w:t>+0.1873 over B</w:t>
            </w:r>
          </w:p>
        </w:tc>
      </w:tr>
      <w:tr>
        <w:tc>
          <w:tcPr>
            <w:tcW w:type="dxa" w:w="1930"/>
            <w:vAlign w:val="center"/>
            <w:shd w:fill="F8FAFC" w:val="clear"/>
          </w:tcPr>
          <w:p>
            <w:pPr>
              <w:jc w:val="left"/>
            </w:pPr>
            <w:r/>
            <w:r>
              <w:rPr>
                <w:b/>
                <w:color w:val="0F172A"/>
                <w:sz w:val="17"/>
              </w:rPr>
              <w:t>PR-AUC</w:t>
            </w:r>
          </w:p>
        </w:tc>
        <w:tc>
          <w:tcPr>
            <w:tcW w:type="dxa" w:w="1930"/>
            <w:vAlign w:val="center"/>
            <w:shd w:fill="F8FAFC" w:val="clear"/>
          </w:tcPr>
          <w:p>
            <w:pPr>
              <w:jc w:val="center"/>
            </w:pPr>
            <w:r/>
            <w:r>
              <w:rPr>
                <w:color w:val="0F172A"/>
                <w:sz w:val="17"/>
              </w:rPr>
              <w:t>0.6631</w:t>
            </w:r>
          </w:p>
        </w:tc>
        <w:tc>
          <w:tcPr>
            <w:tcW w:type="dxa" w:w="1930"/>
            <w:vAlign w:val="center"/>
            <w:shd w:fill="F8FAFC" w:val="clear"/>
          </w:tcPr>
          <w:p>
            <w:pPr>
              <w:jc w:val="center"/>
            </w:pPr>
            <w:r/>
            <w:r>
              <w:rPr>
                <w:color w:val="0F172A"/>
                <w:sz w:val="17"/>
              </w:rPr>
              <w:t>0.9820</w:t>
            </w:r>
          </w:p>
        </w:tc>
        <w:tc>
          <w:tcPr>
            <w:tcW w:type="dxa" w:w="1930"/>
            <w:vAlign w:val="center"/>
            <w:shd w:fill="F8FAFC" w:val="clear"/>
          </w:tcPr>
          <w:p>
            <w:pPr>
              <w:jc w:val="center"/>
            </w:pPr>
            <w:r/>
            <w:r>
              <w:rPr>
                <w:b/>
                <w:color w:val="386DB0"/>
                <w:sz w:val="17"/>
              </w:rPr>
              <w:t>0.9098</w:t>
            </w:r>
          </w:p>
        </w:tc>
        <w:tc>
          <w:tcPr>
            <w:tcW w:type="dxa" w:w="1930"/>
            <w:vAlign w:val="center"/>
            <w:shd w:fill="F8FAFC" w:val="clear"/>
          </w:tcPr>
          <w:p>
            <w:pPr>
              <w:jc w:val="center"/>
            </w:pPr>
            <w:r/>
            <w:r>
              <w:rPr>
                <w:color w:val="0F172A"/>
                <w:sz w:val="17"/>
              </w:rPr>
              <w:t>+0.2467 over B</w:t>
            </w:r>
          </w:p>
        </w:tc>
      </w:tr>
      <w:tr>
        <w:tc>
          <w:tcPr>
            <w:tcW w:type="dxa" w:w="1930"/>
            <w:vAlign w:val="center"/>
          </w:tcPr>
          <w:p>
            <w:pPr>
              <w:jc w:val="left"/>
            </w:pPr>
            <w:r/>
            <w:r>
              <w:rPr>
                <w:b/>
                <w:color w:val="0F172A"/>
                <w:sz w:val="17"/>
              </w:rPr>
              <w:t>Precision (PPV)</w:t>
            </w:r>
          </w:p>
        </w:tc>
        <w:tc>
          <w:tcPr>
            <w:tcW w:type="dxa" w:w="1930"/>
            <w:vAlign w:val="center"/>
          </w:tcPr>
          <w:p>
            <w:pPr>
              <w:jc w:val="center"/>
            </w:pPr>
            <w:r/>
            <w:r>
              <w:rPr>
                <w:color w:val="0F172A"/>
                <w:sz w:val="17"/>
              </w:rPr>
              <w:t>49.2% (30/61)</w:t>
            </w:r>
          </w:p>
        </w:tc>
        <w:tc>
          <w:tcPr>
            <w:tcW w:type="dxa" w:w="1930"/>
            <w:vAlign w:val="center"/>
          </w:tcPr>
          <w:p>
            <w:pPr>
              <w:jc w:val="center"/>
            </w:pPr>
            <w:r/>
            <w:r>
              <w:rPr>
                <w:color w:val="0F172A"/>
                <w:sz w:val="17"/>
              </w:rPr>
              <w:t>79.6% (43/54)</w:t>
            </w:r>
          </w:p>
        </w:tc>
        <w:tc>
          <w:tcPr>
            <w:tcW w:type="dxa" w:w="1930"/>
            <w:vAlign w:val="center"/>
          </w:tcPr>
          <w:p>
            <w:pPr>
              <w:jc w:val="center"/>
            </w:pPr>
            <w:r/>
            <w:r>
              <w:rPr>
                <w:b/>
                <w:color w:val="386DB0"/>
                <w:sz w:val="17"/>
              </w:rPr>
              <w:t>80.4% (37/46)</w:t>
            </w:r>
          </w:p>
        </w:tc>
        <w:tc>
          <w:tcPr>
            <w:tcW w:type="dxa" w:w="1930"/>
            <w:vAlign w:val="center"/>
          </w:tcPr>
          <w:p>
            <w:pPr>
              <w:jc w:val="center"/>
            </w:pPr>
            <w:r/>
            <w:r>
              <w:rPr>
                <w:color w:val="0F172A"/>
                <w:sz w:val="17"/>
              </w:rPr>
              <w:t>+31.2% jump</w:t>
            </w:r>
          </w:p>
        </w:tc>
      </w:tr>
      <w:tr>
        <w:tc>
          <w:tcPr>
            <w:tcW w:type="dxa" w:w="1930"/>
            <w:vAlign w:val="center"/>
            <w:shd w:fill="F8FAFC" w:val="clear"/>
          </w:tcPr>
          <w:p>
            <w:pPr>
              <w:jc w:val="left"/>
            </w:pPr>
            <w:r/>
            <w:r>
              <w:rPr>
                <w:b/>
                <w:color w:val="0F172A"/>
                <w:sz w:val="17"/>
              </w:rPr>
              <w:t>Recall (Sensitivity)</w:t>
            </w:r>
          </w:p>
        </w:tc>
        <w:tc>
          <w:tcPr>
            <w:tcW w:type="dxa" w:w="1930"/>
            <w:vAlign w:val="center"/>
            <w:shd w:fill="F8FAFC" w:val="clear"/>
          </w:tcPr>
          <w:p>
            <w:pPr>
              <w:jc w:val="center"/>
            </w:pPr>
            <w:r/>
            <w:r>
              <w:rPr>
                <w:color w:val="0F172A"/>
                <w:sz w:val="17"/>
              </w:rPr>
              <w:t>66.7% (30/45)</w:t>
            </w:r>
          </w:p>
        </w:tc>
        <w:tc>
          <w:tcPr>
            <w:tcW w:type="dxa" w:w="1930"/>
            <w:vAlign w:val="center"/>
            <w:shd w:fill="F8FAFC" w:val="clear"/>
          </w:tcPr>
          <w:p>
            <w:pPr>
              <w:jc w:val="center"/>
            </w:pPr>
            <w:r/>
            <w:r>
              <w:rPr>
                <w:color w:val="0F172A"/>
                <w:sz w:val="17"/>
              </w:rPr>
              <w:t>95.6% (43/45)</w:t>
            </w:r>
          </w:p>
        </w:tc>
        <w:tc>
          <w:tcPr>
            <w:tcW w:type="dxa" w:w="1930"/>
            <w:vAlign w:val="center"/>
            <w:shd w:fill="F8FAFC" w:val="clear"/>
          </w:tcPr>
          <w:p>
            <w:pPr>
              <w:jc w:val="center"/>
            </w:pPr>
            <w:r/>
            <w:r>
              <w:rPr>
                <w:b/>
                <w:color w:val="386DB0"/>
                <w:sz w:val="17"/>
              </w:rPr>
              <w:t>82.2% (37/45)</w:t>
            </w:r>
          </w:p>
        </w:tc>
        <w:tc>
          <w:tcPr>
            <w:tcW w:type="dxa" w:w="1930"/>
            <w:vAlign w:val="center"/>
            <w:shd w:fill="F8FAFC" w:val="clear"/>
          </w:tcPr>
          <w:p>
            <w:pPr>
              <w:jc w:val="center"/>
            </w:pPr>
            <w:r/>
            <w:r>
              <w:rPr>
                <w:color w:val="0F172A"/>
                <w:sz w:val="17"/>
              </w:rPr>
              <w:t>High preserved</w:t>
            </w:r>
          </w:p>
        </w:tc>
      </w:tr>
      <w:tr>
        <w:tc>
          <w:tcPr>
            <w:tcW w:type="dxa" w:w="1930"/>
            <w:vAlign w:val="center"/>
          </w:tcPr>
          <w:p>
            <w:pPr>
              <w:jc w:val="left"/>
            </w:pPr>
            <w:r/>
            <w:r>
              <w:rPr>
                <w:b/>
                <w:color w:val="0F172A"/>
                <w:sz w:val="17"/>
              </w:rPr>
              <w:t>Specificity</w:t>
            </w:r>
          </w:p>
        </w:tc>
        <w:tc>
          <w:tcPr>
            <w:tcW w:type="dxa" w:w="1930"/>
            <w:vAlign w:val="center"/>
          </w:tcPr>
          <w:p>
            <w:pPr>
              <w:jc w:val="center"/>
            </w:pPr>
            <w:r/>
            <w:r>
              <w:rPr>
                <w:color w:val="0F172A"/>
                <w:sz w:val="17"/>
              </w:rPr>
              <w:t>77.0% (104/135)</w:t>
            </w:r>
          </w:p>
        </w:tc>
        <w:tc>
          <w:tcPr>
            <w:tcW w:type="dxa" w:w="1930"/>
            <w:vAlign w:val="center"/>
          </w:tcPr>
          <w:p>
            <w:pPr>
              <w:jc w:val="center"/>
            </w:pPr>
            <w:r/>
            <w:r>
              <w:rPr>
                <w:color w:val="0F172A"/>
                <w:sz w:val="17"/>
              </w:rPr>
              <w:t>91.8% (124/135)</w:t>
            </w:r>
          </w:p>
        </w:tc>
        <w:tc>
          <w:tcPr>
            <w:tcW w:type="dxa" w:w="1930"/>
            <w:vAlign w:val="center"/>
          </w:tcPr>
          <w:p>
            <w:pPr>
              <w:jc w:val="center"/>
            </w:pPr>
            <w:r/>
            <w:r>
              <w:rPr>
                <w:b/>
                <w:color w:val="386DB0"/>
                <w:sz w:val="17"/>
              </w:rPr>
              <w:t>93.3% (126/135)</w:t>
            </w:r>
          </w:p>
        </w:tc>
        <w:tc>
          <w:tcPr>
            <w:tcW w:type="dxa" w:w="1930"/>
            <w:vAlign w:val="center"/>
          </w:tcPr>
          <w:p>
            <w:pPr>
              <w:jc w:val="center"/>
            </w:pPr>
            <w:r/>
            <w:r>
              <w:rPr>
                <w:color w:val="0F172A"/>
                <w:sz w:val="17"/>
              </w:rPr>
              <w:t>+16.3% jump</w:t>
            </w:r>
          </w:p>
        </w:tc>
      </w:tr>
      <w:tr>
        <w:tc>
          <w:tcPr>
            <w:tcW w:type="dxa" w:w="1930"/>
            <w:vAlign w:val="center"/>
            <w:shd w:fill="F8FAFC" w:val="clear"/>
          </w:tcPr>
          <w:p>
            <w:pPr>
              <w:jc w:val="left"/>
            </w:pPr>
            <w:r/>
            <w:r>
              <w:rPr>
                <w:b/>
                <w:color w:val="0F172A"/>
                <w:sz w:val="17"/>
              </w:rPr>
              <w:t>False Positives</w:t>
            </w:r>
          </w:p>
        </w:tc>
        <w:tc>
          <w:tcPr>
            <w:tcW w:type="dxa" w:w="1930"/>
            <w:vAlign w:val="center"/>
            <w:shd w:fill="F8FAFC" w:val="clear"/>
          </w:tcPr>
          <w:p>
            <w:pPr>
              <w:jc w:val="center"/>
            </w:pPr>
            <w:r/>
            <w:r>
              <w:rPr>
                <w:color w:val="0F172A"/>
                <w:sz w:val="17"/>
              </w:rPr>
              <w:t>31 False Alarms</w:t>
            </w:r>
          </w:p>
        </w:tc>
        <w:tc>
          <w:tcPr>
            <w:tcW w:type="dxa" w:w="1930"/>
            <w:vAlign w:val="center"/>
            <w:shd w:fill="F8FAFC" w:val="clear"/>
          </w:tcPr>
          <w:p>
            <w:pPr>
              <w:jc w:val="center"/>
            </w:pPr>
            <w:r/>
            <w:r>
              <w:rPr>
                <w:color w:val="0F172A"/>
                <w:sz w:val="17"/>
              </w:rPr>
              <w:t>11 False Alarms</w:t>
            </w:r>
          </w:p>
        </w:tc>
        <w:tc>
          <w:tcPr>
            <w:tcW w:type="dxa" w:w="1930"/>
            <w:vAlign w:val="center"/>
            <w:shd w:fill="F8FAFC" w:val="clear"/>
          </w:tcPr>
          <w:p>
            <w:pPr>
              <w:jc w:val="center"/>
            </w:pPr>
            <w:r/>
            <w:r>
              <w:rPr>
                <w:b/>
                <w:color w:val="386DB0"/>
                <w:sz w:val="17"/>
              </w:rPr>
              <w:t>9 False Alarms</w:t>
            </w:r>
          </w:p>
        </w:tc>
        <w:tc>
          <w:tcPr>
            <w:tcW w:type="dxa" w:w="1930"/>
            <w:vAlign w:val="center"/>
            <w:shd w:fill="F8FAFC" w:val="clear"/>
          </w:tcPr>
          <w:p>
            <w:pPr>
              <w:jc w:val="center"/>
            </w:pPr>
            <w:r/>
            <w:r>
              <w:rPr>
                <w:color w:val="0F172A"/>
                <w:sz w:val="17"/>
              </w:rPr>
              <w:t>71.0% Eliminated</w:t>
            </w:r>
          </w:p>
        </w:tc>
      </w:tr>
      <w:tr>
        <w:tc>
          <w:tcPr>
            <w:tcW w:type="dxa" w:w="1930"/>
            <w:vAlign w:val="center"/>
          </w:tcPr>
          <w:p>
            <w:pPr>
              <w:jc w:val="left"/>
            </w:pPr>
            <w:r/>
            <w:r>
              <w:rPr>
                <w:b/>
                <w:color w:val="0F172A"/>
                <w:sz w:val="17"/>
              </w:rPr>
              <w:t>Frozen Threshold</w:t>
            </w:r>
          </w:p>
        </w:tc>
        <w:tc>
          <w:tcPr>
            <w:tcW w:type="dxa" w:w="1930"/>
            <w:vAlign w:val="center"/>
          </w:tcPr>
          <w:p>
            <w:pPr>
              <w:jc w:val="center"/>
            </w:pPr>
            <w:r/>
            <w:r>
              <w:rPr>
                <w:color w:val="0F172A"/>
                <w:sz w:val="17"/>
              </w:rPr>
              <w:t>T = 0.1800</w:t>
            </w:r>
          </w:p>
        </w:tc>
        <w:tc>
          <w:tcPr>
            <w:tcW w:type="dxa" w:w="1930"/>
            <w:vAlign w:val="center"/>
          </w:tcPr>
          <w:p>
            <w:pPr>
              <w:jc w:val="center"/>
            </w:pPr>
            <w:r/>
            <w:r>
              <w:rPr>
                <w:color w:val="0F172A"/>
                <w:sz w:val="17"/>
              </w:rPr>
              <w:t>T = 0.2487</w:t>
            </w:r>
          </w:p>
        </w:tc>
        <w:tc>
          <w:tcPr>
            <w:tcW w:type="dxa" w:w="1930"/>
            <w:vAlign w:val="center"/>
          </w:tcPr>
          <w:p>
            <w:pPr>
              <w:jc w:val="center"/>
            </w:pPr>
            <w:r/>
            <w:r>
              <w:rPr>
                <w:b/>
                <w:color w:val="386DB0"/>
                <w:sz w:val="17"/>
              </w:rPr>
              <w:t>T_coup = 0.0502</w:t>
            </w:r>
          </w:p>
        </w:tc>
        <w:tc>
          <w:tcPr>
            <w:tcW w:type="dxa" w:w="1930"/>
            <w:vAlign w:val="center"/>
          </w:tcPr>
          <w:p>
            <w:pPr>
              <w:jc w:val="center"/>
            </w:pPr>
            <w:r/>
            <w:r>
              <w:rPr>
                <w:color w:val="0F172A"/>
                <w:sz w:val="17"/>
              </w:rPr>
              <w:t>Frozen</w:t>
            </w:r>
          </w:p>
        </w:tc>
      </w:tr>
    </w:tbl>
    <w:p>
      <w:pPr>
        <w:pStyle w:val="Heading2"/>
      </w:pPr>
      <w:r>
        <w:rPr>
          <w:color w:val="0F172A"/>
        </w:rPr>
        <w:t>6.3 False Alarm Elimination Proof &amp; 2D Risk Matrix</w:t>
      </w:r>
    </w:p>
    <w:p>
      <w:pPr>
        <w:spacing w:after="120" w:line="300" w:lineRule="exact"/>
      </w:pPr>
      <w:r>
        <w:rPr>
          <w:b w:val="0"/>
          <w:i w:val="0"/>
          <w:color w:val="0F172A"/>
          <w:sz w:val="21"/>
        </w:rPr>
        <w:t>The Mechanism: 23 out of 31 false alarms produced by Model B occurred on gentle slopes or stable terrain where P(S) &lt; 0.2500. Multiplying by P(S) suppressed the combined risk score below the trigger threshold T_coup = 0.0502.</w:t>
      </w:r>
    </w:p>
    <w:p>
      <w:pPr>
        <w:spacing w:after="120" w:line="300" w:lineRule="exact"/>
      </w:pPr>
      <w:r>
        <w:rPr>
          <w:b/>
          <w:i w:val="0"/>
          <w:color w:val="0F172A"/>
          <w:sz w:val="21"/>
        </w:rPr>
        <w:t>2D Risk Matrix Empirical Findings:</w:t>
      </w:r>
    </w:p>
    <w:p>
      <w:pPr>
        <w:pStyle w:val="ListBullet"/>
        <w:spacing w:after="60"/>
      </w:pPr>
      <w:r>
        <w:rPr>
          <w:b/>
          <w:color w:val="0F172A"/>
          <w:sz w:val="20"/>
        </w:rPr>
        <w:t xml:space="preserve">High Static + High Dynamic: </w:t>
      </w:r>
      <w:r>
        <w:rPr>
          <w:color w:val="0F172A"/>
          <w:sz w:val="20"/>
        </w:rPr>
        <w:t>88.9% failure rate (Extreme Danger Zone).</w:t>
      </w:r>
    </w:p>
    <w:p>
      <w:pPr>
        <w:pStyle w:val="ListBullet"/>
        <w:spacing w:after="60"/>
      </w:pPr>
      <w:r>
        <w:rPr>
          <w:b/>
          <w:color w:val="0F172A"/>
          <w:sz w:val="20"/>
        </w:rPr>
        <w:t xml:space="preserve">Low Static + High Dynamic: </w:t>
      </w:r>
      <w:r>
        <w:rPr>
          <w:color w:val="0F172A"/>
          <w:sz w:val="20"/>
        </w:rPr>
        <w:t>0.0% failure rate (Heavy monsoon rains over stable valleys &amp; flat plains — zero landslides).</w:t>
      </w:r>
    </w:p>
    <w:p>
      <w:pPr>
        <w:pStyle w:val="ListBullet"/>
        <w:spacing w:after="60"/>
      </w:pPr>
      <w:r>
        <w:rPr>
          <w:b/>
          <w:color w:val="0F172A"/>
          <w:sz w:val="20"/>
        </w:rPr>
        <w:t xml:space="preserve">High Static + Low Dynamic: </w:t>
      </w:r>
      <w:r>
        <w:rPr>
          <w:color w:val="0F172A"/>
          <w:sz w:val="20"/>
        </w:rPr>
        <w:t>18.2% failure rate (Steep slopes during dry/moderate spells).</w:t>
      </w:r>
    </w:p>
    <w:p>
      <w:pPr>
        <w:pStyle w:val="ListBullet"/>
        <w:spacing w:after="60"/>
      </w:pPr>
      <w:r>
        <w:rPr>
          <w:b/>
          <w:color w:val="0F172A"/>
          <w:sz w:val="20"/>
        </w:rPr>
        <w:t xml:space="preserve">Low Static + Low Dynamic: </w:t>
      </w:r>
      <w:r>
        <w:rPr>
          <w:color w:val="0F172A"/>
          <w:sz w:val="20"/>
        </w:rPr>
        <w:t>0.0% failure rate (Safe baseline).</w:t>
      </w:r>
    </w:p>
    <w:p>
      <w:pPr>
        <w:jc w:val="center"/>
      </w:pPr>
      <w:r>
        <w:drawing>
          <wp:inline xmlns:a="http://schemas.openxmlformats.org/drawingml/2006/main" xmlns:pic="http://schemas.openxmlformats.org/drawingml/2006/picture">
            <wp:extent cx="4114800" cy="3102533"/>
            <wp:docPr id="5" name="Picture 5"/>
            <wp:cNvGraphicFramePr>
              <a:graphicFrameLocks noChangeAspect="1"/>
            </wp:cNvGraphicFramePr>
            <a:graphic>
              <a:graphicData uri="http://schemas.openxmlformats.org/drawingml/2006/picture">
                <pic:pic>
                  <pic:nvPicPr>
                    <pic:cNvPr id="0" name="risk_matrix_2d.png"/>
                    <pic:cNvPicPr/>
                  </pic:nvPicPr>
                  <pic:blipFill>
                    <a:blip r:embed="rId13"/>
                    <a:stretch>
                      <a:fillRect/>
                    </a:stretch>
                  </pic:blipFill>
                  <pic:spPr>
                    <a:xfrm>
                      <a:off x="0" y="0"/>
                      <a:ext cx="4114800" cy="3102533"/>
                    </a:xfrm>
                    <a:prstGeom prst="rect"/>
                  </pic:spPr>
                </pic:pic>
              </a:graphicData>
            </a:graphic>
          </wp:inline>
        </w:drawing>
      </w:r>
    </w:p>
    <w:p>
      <w:pPr>
        <w:jc w:val="center"/>
      </w:pPr>
      <w:r>
        <w:rPr>
          <w:i/>
          <w:color w:val="64748B"/>
          <w:sz w:val="18"/>
        </w:rPr>
        <w:t>Figure 5: 2D Empirical Risk Matrix — Holdout Validation</w:t>
      </w:r>
    </w:p>
    <w:p/>
    <w:p>
      <w:pPr>
        <w:jc w:val="center"/>
      </w:pPr>
      <w:r>
        <w:drawing>
          <wp:inline xmlns:a="http://schemas.openxmlformats.org/drawingml/2006/main" xmlns:pic="http://schemas.openxmlformats.org/drawingml/2006/picture">
            <wp:extent cx="5486400" cy="1846997"/>
            <wp:docPr id="6" name="Picture 6"/>
            <wp:cNvGraphicFramePr>
              <a:graphicFrameLocks noChangeAspect="1"/>
            </wp:cNvGraphicFramePr>
            <a:graphic>
              <a:graphicData uri="http://schemas.openxmlformats.org/drawingml/2006/picture">
                <pic:pic>
                  <pic:nvPicPr>
                    <pic:cNvPr id="0" name="tier_classification.png"/>
                    <pic:cNvPicPr/>
                  </pic:nvPicPr>
                  <pic:blipFill>
                    <a:blip r:embed="rId14"/>
                    <a:stretch>
                      <a:fillRect/>
                    </a:stretch>
                  </pic:blipFill>
                  <pic:spPr>
                    <a:xfrm>
                      <a:off x="0" y="0"/>
                      <a:ext cx="5486400" cy="1846997"/>
                    </a:xfrm>
                    <a:prstGeom prst="rect"/>
                  </pic:spPr>
                </pic:pic>
              </a:graphicData>
            </a:graphic>
          </wp:inline>
        </w:drawing>
      </w:r>
    </w:p>
    <w:p>
      <w:pPr>
        <w:jc w:val="center"/>
      </w:pPr>
      <w:r>
        <w:rPr>
          <w:i/>
          <w:color w:val="64748B"/>
          <w:sz w:val="18"/>
        </w:rPr>
        <w:t>Figure 6: 4-Tier Alert Classification System</w:t>
      </w:r>
    </w:p>
    <w:p>
      <w:r>
        <w:br w:type="page"/>
      </w:r>
    </w:p>
    <w:p>
      <w:pPr>
        <w:pStyle w:val="Heading1"/>
      </w:pPr>
      <w:r>
        <w:rPr>
          <w:color w:val="0F172A"/>
        </w:rPr>
        <w:t>7. Phase 4: Spatial Risk Engine, 3,156-Cell Grid &amp; Infrastructure</w:t>
      </w:r>
    </w:p>
    <w:p>
      <w:pPr>
        <w:pStyle w:val="Heading2"/>
      </w:pPr>
      <w:r>
        <w:rPr>
          <w:color w:val="0F172A"/>
        </w:rPr>
        <w:t>7.1 Statewide Risk Surface (Section 34)</w:t>
      </w:r>
    </w:p>
    <w:p>
      <w:pPr>
        <w:pStyle w:val="ListBullet"/>
        <w:spacing w:after="60"/>
      </w:pPr>
      <w:r>
        <w:rPr>
          <w:b/>
          <w:color w:val="0F172A"/>
          <w:sz w:val="20"/>
        </w:rPr>
        <w:t xml:space="preserve">Spatial Coverage: </w:t>
      </w:r>
      <w:r>
        <w:rPr>
          <w:color w:val="0F172A"/>
          <w:sz w:val="20"/>
        </w:rPr>
        <w:t>3,156 discrete spatial cells in WGS 84 (EPSG:4326) covering all 12 districts and 5 regional blocks of Meghalaya.</w:t>
      </w:r>
    </w:p>
    <w:p>
      <w:pPr>
        <w:pStyle w:val="ListBullet"/>
        <w:spacing w:after="60"/>
      </w:pPr>
      <w:r>
        <w:rPr>
          <w:b/>
          <w:color w:val="0F172A"/>
          <w:sz w:val="20"/>
        </w:rPr>
        <w:t xml:space="preserve">Deliverable: </w:t>
      </w:r>
      <w:r>
        <w:rPr>
          <w:color w:val="0F172A"/>
          <w:sz w:val="20"/>
        </w:rPr>
        <w:t>data/phase4/section34_spatial_risk/phase4_section34_regional_risk_surface.geojson (1.8 MB).</w:t>
      </w:r>
    </w:p>
    <w:p>
      <w:pPr>
        <w:spacing w:after="120" w:line="300" w:lineRule="exact"/>
      </w:pPr>
      <w:r>
        <w:rPr>
          <w:b/>
          <w:i w:val="0"/>
          <w:color w:val="0F172A"/>
          <w:sz w:val="21"/>
        </w:rPr>
        <w:t>Regional Risk Distribution (Demonstration Active Monsoon Surge Scenario):</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vAlign w:val="center"/>
            <w:shd w:fill="1E293B" w:val="clear"/>
          </w:tcPr>
          <w:p>
            <w:pPr>
              <w:jc w:val="center"/>
            </w:pPr>
            <w:r/>
            <w:r>
              <w:rPr>
                <w:b/>
                <w:color w:val="FFFFFF"/>
                <w:sz w:val="18"/>
              </w:rPr>
              <w:t>Regional Block</w:t>
            </w:r>
          </w:p>
        </w:tc>
        <w:tc>
          <w:tcPr>
            <w:tcW w:type="dxa" w:w="1072"/>
            <w:vAlign w:val="center"/>
            <w:shd w:fill="1E293B" w:val="clear"/>
          </w:tcPr>
          <w:p>
            <w:pPr>
              <w:jc w:val="center"/>
            </w:pPr>
            <w:r/>
            <w:r>
              <w:rPr>
                <w:b/>
                <w:color w:val="FFFFFF"/>
                <w:sz w:val="18"/>
              </w:rPr>
              <w:t>Total Cells</w:t>
            </w:r>
          </w:p>
        </w:tc>
        <w:tc>
          <w:tcPr>
            <w:tcW w:type="dxa" w:w="1072"/>
            <w:vAlign w:val="center"/>
            <w:shd w:fill="1E293B" w:val="clear"/>
          </w:tcPr>
          <w:p>
            <w:pPr>
              <w:jc w:val="center"/>
            </w:pPr>
            <w:r/>
            <w:r>
              <w:rPr>
                <w:b/>
                <w:color w:val="FFFFFF"/>
                <w:sz w:val="18"/>
              </w:rPr>
              <w:t>Mean P(S)</w:t>
            </w:r>
          </w:p>
        </w:tc>
        <w:tc>
          <w:tcPr>
            <w:tcW w:type="dxa" w:w="1072"/>
            <w:vAlign w:val="center"/>
            <w:shd w:fill="1E293B" w:val="clear"/>
          </w:tcPr>
          <w:p>
            <w:pPr>
              <w:jc w:val="center"/>
            </w:pPr>
            <w:r/>
            <w:r>
              <w:rPr>
                <w:b/>
                <w:color w:val="FFFFFF"/>
                <w:sz w:val="18"/>
              </w:rPr>
              <w:t>Mean Risk</w:t>
            </w:r>
          </w:p>
        </w:tc>
        <w:tc>
          <w:tcPr>
            <w:tcW w:type="dxa" w:w="1072"/>
            <w:vAlign w:val="center"/>
            <w:shd w:fill="1E293B" w:val="clear"/>
          </w:tcPr>
          <w:p>
            <w:pPr>
              <w:jc w:val="center"/>
            </w:pPr>
            <w:r/>
            <w:r>
              <w:rPr>
                <w:b/>
                <w:color w:val="FFFFFF"/>
                <w:sz w:val="18"/>
              </w:rPr>
              <w:t>Green</w:t>
            </w:r>
          </w:p>
        </w:tc>
        <w:tc>
          <w:tcPr>
            <w:tcW w:type="dxa" w:w="1072"/>
            <w:vAlign w:val="center"/>
            <w:shd w:fill="1E293B" w:val="clear"/>
          </w:tcPr>
          <w:p>
            <w:pPr>
              <w:jc w:val="center"/>
            </w:pPr>
            <w:r/>
            <w:r>
              <w:rPr>
                <w:b/>
                <w:color w:val="FFFFFF"/>
                <w:sz w:val="18"/>
              </w:rPr>
              <w:t>Yellow</w:t>
            </w:r>
          </w:p>
        </w:tc>
        <w:tc>
          <w:tcPr>
            <w:tcW w:type="dxa" w:w="1072"/>
            <w:vAlign w:val="center"/>
            <w:shd w:fill="1E293B" w:val="clear"/>
          </w:tcPr>
          <w:p>
            <w:pPr>
              <w:jc w:val="center"/>
            </w:pPr>
            <w:r/>
            <w:r>
              <w:rPr>
                <w:b/>
                <w:color w:val="FFFFFF"/>
                <w:sz w:val="18"/>
              </w:rPr>
              <w:t>Orange</w:t>
            </w:r>
          </w:p>
        </w:tc>
        <w:tc>
          <w:tcPr>
            <w:tcW w:type="dxa" w:w="1072"/>
            <w:vAlign w:val="center"/>
            <w:shd w:fill="1E293B" w:val="clear"/>
          </w:tcPr>
          <w:p>
            <w:pPr>
              <w:jc w:val="center"/>
            </w:pPr>
            <w:r/>
            <w:r>
              <w:rPr>
                <w:b/>
                <w:color w:val="FFFFFF"/>
                <w:sz w:val="18"/>
              </w:rPr>
              <w:t>Red</w:t>
            </w:r>
          </w:p>
        </w:tc>
        <w:tc>
          <w:tcPr>
            <w:tcW w:type="dxa" w:w="1072"/>
            <w:vAlign w:val="center"/>
            <w:shd w:fill="1E293B" w:val="clear"/>
          </w:tcPr>
          <w:p>
            <w:pPr>
              <w:jc w:val="center"/>
            </w:pPr>
            <w:r/>
            <w:r>
              <w:rPr>
                <w:b/>
                <w:color w:val="FFFFFF"/>
                <w:sz w:val="18"/>
              </w:rPr>
              <w:t>Orange+Red %</w:t>
            </w:r>
          </w:p>
        </w:tc>
      </w:tr>
      <w:tr>
        <w:tc>
          <w:tcPr>
            <w:tcW w:type="dxa" w:w="1072"/>
            <w:vAlign w:val="center"/>
          </w:tcPr>
          <w:p>
            <w:pPr>
              <w:jc w:val="left"/>
            </w:pPr>
            <w:r/>
            <w:r>
              <w:rPr>
                <w:b/>
                <w:color w:val="0F172A"/>
                <w:sz w:val="17"/>
              </w:rPr>
              <w:t>East Khasi Block</w:t>
            </w:r>
          </w:p>
        </w:tc>
        <w:tc>
          <w:tcPr>
            <w:tcW w:type="dxa" w:w="1072"/>
            <w:vAlign w:val="center"/>
          </w:tcPr>
          <w:p>
            <w:pPr>
              <w:jc w:val="center"/>
            </w:pPr>
            <w:r/>
            <w:r>
              <w:rPr>
                <w:color w:val="0F172A"/>
                <w:sz w:val="17"/>
              </w:rPr>
              <w:t>419</w:t>
            </w:r>
          </w:p>
        </w:tc>
        <w:tc>
          <w:tcPr>
            <w:tcW w:type="dxa" w:w="1072"/>
            <w:vAlign w:val="center"/>
          </w:tcPr>
          <w:p>
            <w:pPr>
              <w:jc w:val="center"/>
            </w:pPr>
            <w:r/>
            <w:r>
              <w:rPr>
                <w:color w:val="0F172A"/>
                <w:sz w:val="17"/>
              </w:rPr>
              <w:t>0.1206</w:t>
            </w:r>
          </w:p>
        </w:tc>
        <w:tc>
          <w:tcPr>
            <w:tcW w:type="dxa" w:w="1072"/>
            <w:vAlign w:val="center"/>
          </w:tcPr>
          <w:p>
            <w:pPr>
              <w:jc w:val="center"/>
            </w:pPr>
            <w:r/>
            <w:r>
              <w:rPr>
                <w:color w:val="0F172A"/>
                <w:sz w:val="17"/>
              </w:rPr>
              <w:t>0.0758</w:t>
            </w:r>
          </w:p>
        </w:tc>
        <w:tc>
          <w:tcPr>
            <w:tcW w:type="dxa" w:w="1072"/>
            <w:vAlign w:val="center"/>
          </w:tcPr>
          <w:p>
            <w:pPr>
              <w:jc w:val="center"/>
            </w:pPr>
            <w:r/>
            <w:r>
              <w:rPr>
                <w:color w:val="0F172A"/>
                <w:sz w:val="17"/>
              </w:rPr>
              <w:t>317</w:t>
            </w:r>
          </w:p>
        </w:tc>
        <w:tc>
          <w:tcPr>
            <w:tcW w:type="dxa" w:w="1072"/>
            <w:vAlign w:val="center"/>
          </w:tcPr>
          <w:p>
            <w:pPr>
              <w:jc w:val="center"/>
            </w:pPr>
            <w:r/>
            <w:r>
              <w:rPr>
                <w:color w:val="0F172A"/>
                <w:sz w:val="17"/>
              </w:rPr>
              <w:t>45</w:t>
            </w:r>
          </w:p>
        </w:tc>
        <w:tc>
          <w:tcPr>
            <w:tcW w:type="dxa" w:w="1072"/>
            <w:vAlign w:val="center"/>
          </w:tcPr>
          <w:p>
            <w:pPr>
              <w:jc w:val="center"/>
            </w:pPr>
            <w:r/>
            <w:r>
              <w:rPr>
                <w:color w:val="0F172A"/>
                <w:sz w:val="17"/>
              </w:rPr>
              <w:t>48</w:t>
            </w:r>
          </w:p>
        </w:tc>
        <w:tc>
          <w:tcPr>
            <w:tcW w:type="dxa" w:w="1072"/>
            <w:vAlign w:val="center"/>
          </w:tcPr>
          <w:p>
            <w:pPr>
              <w:jc w:val="center"/>
            </w:pPr>
            <w:r/>
            <w:r>
              <w:rPr>
                <w:color w:val="0F172A"/>
                <w:sz w:val="17"/>
              </w:rPr>
              <w:t>9</w:t>
            </w:r>
          </w:p>
        </w:tc>
        <w:tc>
          <w:tcPr>
            <w:tcW w:type="dxa" w:w="1072"/>
            <w:vAlign w:val="center"/>
          </w:tcPr>
          <w:p>
            <w:pPr>
              <w:jc w:val="center"/>
            </w:pPr>
            <w:r/>
            <w:r>
              <w:rPr>
                <w:color w:val="0F172A"/>
                <w:sz w:val="17"/>
              </w:rPr>
              <w:t>13.6%</w:t>
            </w:r>
          </w:p>
        </w:tc>
      </w:tr>
      <w:tr>
        <w:tc>
          <w:tcPr>
            <w:tcW w:type="dxa" w:w="1072"/>
            <w:vAlign w:val="center"/>
            <w:shd w:fill="F8FAFC" w:val="clear"/>
          </w:tcPr>
          <w:p>
            <w:pPr>
              <w:jc w:val="left"/>
            </w:pPr>
            <w:r/>
            <w:r>
              <w:rPr>
                <w:b/>
                <w:color w:val="0F172A"/>
                <w:sz w:val="17"/>
              </w:rPr>
              <w:t>Jaintia Hills Block</w:t>
            </w:r>
          </w:p>
        </w:tc>
        <w:tc>
          <w:tcPr>
            <w:tcW w:type="dxa" w:w="1072"/>
            <w:vAlign w:val="center"/>
            <w:shd w:fill="F8FAFC" w:val="clear"/>
          </w:tcPr>
          <w:p>
            <w:pPr>
              <w:jc w:val="center"/>
            </w:pPr>
            <w:r/>
            <w:r>
              <w:rPr>
                <w:color w:val="0F172A"/>
                <w:sz w:val="17"/>
              </w:rPr>
              <w:t>469</w:t>
            </w:r>
          </w:p>
        </w:tc>
        <w:tc>
          <w:tcPr>
            <w:tcW w:type="dxa" w:w="1072"/>
            <w:vAlign w:val="center"/>
            <w:shd w:fill="F8FAFC" w:val="clear"/>
          </w:tcPr>
          <w:p>
            <w:pPr>
              <w:jc w:val="center"/>
            </w:pPr>
            <w:r/>
            <w:r>
              <w:rPr>
                <w:color w:val="0F172A"/>
                <w:sz w:val="17"/>
              </w:rPr>
              <w:t>0.0924</w:t>
            </w:r>
          </w:p>
        </w:tc>
        <w:tc>
          <w:tcPr>
            <w:tcW w:type="dxa" w:w="1072"/>
            <w:vAlign w:val="center"/>
            <w:shd w:fill="F8FAFC" w:val="clear"/>
          </w:tcPr>
          <w:p>
            <w:pPr>
              <w:jc w:val="center"/>
            </w:pPr>
            <w:r/>
            <w:r>
              <w:rPr>
                <w:color w:val="0F172A"/>
                <w:sz w:val="17"/>
              </w:rPr>
              <w:t>0.0580</w:t>
            </w:r>
          </w:p>
        </w:tc>
        <w:tc>
          <w:tcPr>
            <w:tcW w:type="dxa" w:w="1072"/>
            <w:vAlign w:val="center"/>
            <w:shd w:fill="F8FAFC" w:val="clear"/>
          </w:tcPr>
          <w:p>
            <w:pPr>
              <w:jc w:val="center"/>
            </w:pPr>
            <w:r/>
            <w:r>
              <w:rPr>
                <w:color w:val="0F172A"/>
                <w:sz w:val="17"/>
              </w:rPr>
              <w:t>388</w:t>
            </w:r>
          </w:p>
        </w:tc>
        <w:tc>
          <w:tcPr>
            <w:tcW w:type="dxa" w:w="1072"/>
            <w:vAlign w:val="center"/>
            <w:shd w:fill="F8FAFC" w:val="clear"/>
          </w:tcPr>
          <w:p>
            <w:pPr>
              <w:jc w:val="center"/>
            </w:pPr>
            <w:r/>
            <w:r>
              <w:rPr>
                <w:color w:val="0F172A"/>
                <w:sz w:val="17"/>
              </w:rPr>
              <w:t>43</w:t>
            </w:r>
          </w:p>
        </w:tc>
        <w:tc>
          <w:tcPr>
            <w:tcW w:type="dxa" w:w="1072"/>
            <w:vAlign w:val="center"/>
            <w:shd w:fill="F8FAFC" w:val="clear"/>
          </w:tcPr>
          <w:p>
            <w:pPr>
              <w:jc w:val="center"/>
            </w:pPr>
            <w:r/>
            <w:r>
              <w:rPr>
                <w:color w:val="0F172A"/>
                <w:sz w:val="17"/>
              </w:rPr>
              <w:t>37</w:t>
            </w:r>
          </w:p>
        </w:tc>
        <w:tc>
          <w:tcPr>
            <w:tcW w:type="dxa" w:w="1072"/>
            <w:vAlign w:val="center"/>
            <w:shd w:fill="F8FAFC" w:val="clear"/>
          </w:tcPr>
          <w:p>
            <w:pPr>
              <w:jc w:val="center"/>
            </w:pPr>
            <w:r/>
            <w:r>
              <w:rPr>
                <w:color w:val="0F172A"/>
                <w:sz w:val="17"/>
              </w:rPr>
              <w:t>1</w:t>
            </w:r>
          </w:p>
        </w:tc>
        <w:tc>
          <w:tcPr>
            <w:tcW w:type="dxa" w:w="1072"/>
            <w:vAlign w:val="center"/>
            <w:shd w:fill="F8FAFC" w:val="clear"/>
          </w:tcPr>
          <w:p>
            <w:pPr>
              <w:jc w:val="center"/>
            </w:pPr>
            <w:r/>
            <w:r>
              <w:rPr>
                <w:color w:val="0F172A"/>
                <w:sz w:val="17"/>
              </w:rPr>
              <w:t>8.1%</w:t>
            </w:r>
          </w:p>
        </w:tc>
      </w:tr>
      <w:tr>
        <w:tc>
          <w:tcPr>
            <w:tcW w:type="dxa" w:w="1072"/>
            <w:vAlign w:val="center"/>
          </w:tcPr>
          <w:p>
            <w:pPr>
              <w:jc w:val="left"/>
            </w:pPr>
            <w:r/>
            <w:r>
              <w:rPr>
                <w:b/>
                <w:color w:val="0F172A"/>
                <w:sz w:val="17"/>
              </w:rPr>
              <w:t>Ri-Bhoi Block</w:t>
            </w:r>
          </w:p>
        </w:tc>
        <w:tc>
          <w:tcPr>
            <w:tcW w:type="dxa" w:w="1072"/>
            <w:vAlign w:val="center"/>
          </w:tcPr>
          <w:p>
            <w:pPr>
              <w:jc w:val="center"/>
            </w:pPr>
            <w:r/>
            <w:r>
              <w:rPr>
                <w:color w:val="0F172A"/>
                <w:sz w:val="17"/>
              </w:rPr>
              <w:t>715</w:t>
            </w:r>
          </w:p>
        </w:tc>
        <w:tc>
          <w:tcPr>
            <w:tcW w:type="dxa" w:w="1072"/>
            <w:vAlign w:val="center"/>
          </w:tcPr>
          <w:p>
            <w:pPr>
              <w:jc w:val="center"/>
            </w:pPr>
            <w:r/>
            <w:r>
              <w:rPr>
                <w:color w:val="0F172A"/>
                <w:sz w:val="17"/>
              </w:rPr>
              <w:t>0.0515</w:t>
            </w:r>
          </w:p>
        </w:tc>
        <w:tc>
          <w:tcPr>
            <w:tcW w:type="dxa" w:w="1072"/>
            <w:vAlign w:val="center"/>
          </w:tcPr>
          <w:p>
            <w:pPr>
              <w:jc w:val="center"/>
            </w:pPr>
            <w:r/>
            <w:r>
              <w:rPr>
                <w:color w:val="0F172A"/>
                <w:sz w:val="17"/>
              </w:rPr>
              <w:t>0.0323</w:t>
            </w:r>
          </w:p>
        </w:tc>
        <w:tc>
          <w:tcPr>
            <w:tcW w:type="dxa" w:w="1072"/>
            <w:vAlign w:val="center"/>
          </w:tcPr>
          <w:p>
            <w:pPr>
              <w:jc w:val="center"/>
            </w:pPr>
            <w:r/>
            <w:r>
              <w:rPr>
                <w:color w:val="0F172A"/>
                <w:sz w:val="17"/>
              </w:rPr>
              <w:t>674</w:t>
            </w:r>
          </w:p>
        </w:tc>
        <w:tc>
          <w:tcPr>
            <w:tcW w:type="dxa" w:w="1072"/>
            <w:vAlign w:val="center"/>
          </w:tcPr>
          <w:p>
            <w:pPr>
              <w:jc w:val="center"/>
            </w:pPr>
            <w:r/>
            <w:r>
              <w:rPr>
                <w:color w:val="0F172A"/>
                <w:sz w:val="17"/>
              </w:rPr>
              <w:t>23</w:t>
            </w:r>
          </w:p>
        </w:tc>
        <w:tc>
          <w:tcPr>
            <w:tcW w:type="dxa" w:w="1072"/>
            <w:vAlign w:val="center"/>
          </w:tcPr>
          <w:p>
            <w:pPr>
              <w:jc w:val="center"/>
            </w:pPr>
            <w:r/>
            <w:r>
              <w:rPr>
                <w:color w:val="0F172A"/>
                <w:sz w:val="17"/>
              </w:rPr>
              <w:t>18</w:t>
            </w:r>
          </w:p>
        </w:tc>
        <w:tc>
          <w:tcPr>
            <w:tcW w:type="dxa" w:w="1072"/>
            <w:vAlign w:val="center"/>
          </w:tcPr>
          <w:p>
            <w:pPr>
              <w:jc w:val="center"/>
            </w:pPr>
            <w:r/>
            <w:r>
              <w:rPr>
                <w:color w:val="0F172A"/>
                <w:sz w:val="17"/>
              </w:rPr>
              <w:t>0</w:t>
            </w:r>
          </w:p>
        </w:tc>
        <w:tc>
          <w:tcPr>
            <w:tcW w:type="dxa" w:w="1072"/>
            <w:vAlign w:val="center"/>
          </w:tcPr>
          <w:p>
            <w:pPr>
              <w:jc w:val="center"/>
            </w:pPr>
            <w:r/>
            <w:r>
              <w:rPr>
                <w:color w:val="0F172A"/>
                <w:sz w:val="17"/>
              </w:rPr>
              <w:t>2.5%</w:t>
            </w:r>
          </w:p>
        </w:tc>
      </w:tr>
      <w:tr>
        <w:tc>
          <w:tcPr>
            <w:tcW w:type="dxa" w:w="1072"/>
            <w:vAlign w:val="center"/>
            <w:shd w:fill="F8FAFC" w:val="clear"/>
          </w:tcPr>
          <w:p>
            <w:pPr>
              <w:jc w:val="left"/>
            </w:pPr>
            <w:r/>
            <w:r>
              <w:rPr>
                <w:b/>
                <w:color w:val="0F172A"/>
                <w:sz w:val="17"/>
              </w:rPr>
              <w:t>West Khasi Block</w:t>
            </w:r>
          </w:p>
        </w:tc>
        <w:tc>
          <w:tcPr>
            <w:tcW w:type="dxa" w:w="1072"/>
            <w:vAlign w:val="center"/>
            <w:shd w:fill="F8FAFC" w:val="clear"/>
          </w:tcPr>
          <w:p>
            <w:pPr>
              <w:jc w:val="center"/>
            </w:pPr>
            <w:r/>
            <w:r>
              <w:rPr>
                <w:color w:val="0F172A"/>
                <w:sz w:val="17"/>
              </w:rPr>
              <w:t>516</w:t>
            </w:r>
          </w:p>
        </w:tc>
        <w:tc>
          <w:tcPr>
            <w:tcW w:type="dxa" w:w="1072"/>
            <w:vAlign w:val="center"/>
            <w:shd w:fill="F8FAFC" w:val="clear"/>
          </w:tcPr>
          <w:p>
            <w:pPr>
              <w:jc w:val="center"/>
            </w:pPr>
            <w:r/>
            <w:r>
              <w:rPr>
                <w:color w:val="0F172A"/>
                <w:sz w:val="17"/>
              </w:rPr>
              <w:t>0.0506</w:t>
            </w:r>
          </w:p>
        </w:tc>
        <w:tc>
          <w:tcPr>
            <w:tcW w:type="dxa" w:w="1072"/>
            <w:vAlign w:val="center"/>
            <w:shd w:fill="F8FAFC" w:val="clear"/>
          </w:tcPr>
          <w:p>
            <w:pPr>
              <w:jc w:val="center"/>
            </w:pPr>
            <w:r/>
            <w:r>
              <w:rPr>
                <w:color w:val="0F172A"/>
                <w:sz w:val="17"/>
              </w:rPr>
              <w:t>0.0318</w:t>
            </w:r>
          </w:p>
        </w:tc>
        <w:tc>
          <w:tcPr>
            <w:tcW w:type="dxa" w:w="1072"/>
            <w:vAlign w:val="center"/>
            <w:shd w:fill="F8FAFC" w:val="clear"/>
          </w:tcPr>
          <w:p>
            <w:pPr>
              <w:jc w:val="center"/>
            </w:pPr>
            <w:r/>
            <w:r>
              <w:rPr>
                <w:color w:val="0F172A"/>
                <w:sz w:val="17"/>
              </w:rPr>
              <w:t>491</w:t>
            </w:r>
          </w:p>
        </w:tc>
        <w:tc>
          <w:tcPr>
            <w:tcW w:type="dxa" w:w="1072"/>
            <w:vAlign w:val="center"/>
            <w:shd w:fill="F8FAFC" w:val="clear"/>
          </w:tcPr>
          <w:p>
            <w:pPr>
              <w:jc w:val="center"/>
            </w:pPr>
            <w:r/>
            <w:r>
              <w:rPr>
                <w:color w:val="0F172A"/>
                <w:sz w:val="17"/>
              </w:rPr>
              <w:t>19</w:t>
            </w:r>
          </w:p>
        </w:tc>
        <w:tc>
          <w:tcPr>
            <w:tcW w:type="dxa" w:w="1072"/>
            <w:vAlign w:val="center"/>
            <w:shd w:fill="F8FAFC" w:val="clear"/>
          </w:tcPr>
          <w:p>
            <w:pPr>
              <w:jc w:val="center"/>
            </w:pPr>
            <w:r/>
            <w:r>
              <w:rPr>
                <w:color w:val="0F172A"/>
                <w:sz w:val="17"/>
              </w:rPr>
              <w:t>6</w:t>
            </w:r>
          </w:p>
        </w:tc>
        <w:tc>
          <w:tcPr>
            <w:tcW w:type="dxa" w:w="1072"/>
            <w:vAlign w:val="center"/>
            <w:shd w:fill="F8FAFC" w:val="clear"/>
          </w:tcPr>
          <w:p>
            <w:pPr>
              <w:jc w:val="center"/>
            </w:pPr>
            <w:r/>
            <w:r>
              <w:rPr>
                <w:color w:val="0F172A"/>
                <w:sz w:val="17"/>
              </w:rPr>
              <w:t>0</w:t>
            </w:r>
          </w:p>
        </w:tc>
        <w:tc>
          <w:tcPr>
            <w:tcW w:type="dxa" w:w="1072"/>
            <w:vAlign w:val="center"/>
            <w:shd w:fill="F8FAFC" w:val="clear"/>
          </w:tcPr>
          <w:p>
            <w:pPr>
              <w:jc w:val="center"/>
            </w:pPr>
            <w:r/>
            <w:r>
              <w:rPr>
                <w:color w:val="0F172A"/>
                <w:sz w:val="17"/>
              </w:rPr>
              <w:t>1.2%</w:t>
            </w:r>
          </w:p>
        </w:tc>
      </w:tr>
      <w:tr>
        <w:tc>
          <w:tcPr>
            <w:tcW w:type="dxa" w:w="1072"/>
            <w:vAlign w:val="center"/>
          </w:tcPr>
          <w:p>
            <w:pPr>
              <w:jc w:val="left"/>
            </w:pPr>
            <w:r/>
            <w:r>
              <w:rPr>
                <w:b/>
                <w:color w:val="0F172A"/>
                <w:sz w:val="17"/>
              </w:rPr>
              <w:t>Garo Hills Block</w:t>
            </w:r>
          </w:p>
        </w:tc>
        <w:tc>
          <w:tcPr>
            <w:tcW w:type="dxa" w:w="1072"/>
            <w:vAlign w:val="center"/>
          </w:tcPr>
          <w:p>
            <w:pPr>
              <w:jc w:val="center"/>
            </w:pPr>
            <w:r/>
            <w:r>
              <w:rPr>
                <w:color w:val="0F172A"/>
                <w:sz w:val="17"/>
              </w:rPr>
              <w:t>1,037</w:t>
            </w:r>
          </w:p>
        </w:tc>
        <w:tc>
          <w:tcPr>
            <w:tcW w:type="dxa" w:w="1072"/>
            <w:vAlign w:val="center"/>
          </w:tcPr>
          <w:p>
            <w:pPr>
              <w:jc w:val="center"/>
            </w:pPr>
            <w:r/>
            <w:r>
              <w:rPr>
                <w:color w:val="0F172A"/>
                <w:sz w:val="17"/>
              </w:rPr>
              <w:t>0.0282</w:t>
            </w:r>
          </w:p>
        </w:tc>
        <w:tc>
          <w:tcPr>
            <w:tcW w:type="dxa" w:w="1072"/>
            <w:vAlign w:val="center"/>
          </w:tcPr>
          <w:p>
            <w:pPr>
              <w:jc w:val="center"/>
            </w:pPr>
            <w:r/>
            <w:r>
              <w:rPr>
                <w:color w:val="0F172A"/>
                <w:sz w:val="17"/>
              </w:rPr>
              <w:t>0.0177</w:t>
            </w:r>
          </w:p>
        </w:tc>
        <w:tc>
          <w:tcPr>
            <w:tcW w:type="dxa" w:w="1072"/>
            <w:vAlign w:val="center"/>
          </w:tcPr>
          <w:p>
            <w:pPr>
              <w:jc w:val="center"/>
            </w:pPr>
            <w:r/>
            <w:r>
              <w:rPr>
                <w:color w:val="0F172A"/>
                <w:sz w:val="17"/>
              </w:rPr>
              <w:t>1,029</w:t>
            </w:r>
          </w:p>
        </w:tc>
        <w:tc>
          <w:tcPr>
            <w:tcW w:type="dxa" w:w="1072"/>
            <w:vAlign w:val="center"/>
          </w:tcPr>
          <w:p>
            <w:pPr>
              <w:jc w:val="center"/>
            </w:pPr>
            <w:r/>
            <w:r>
              <w:rPr>
                <w:color w:val="0F172A"/>
                <w:sz w:val="17"/>
              </w:rPr>
              <w:t>7</w:t>
            </w:r>
          </w:p>
        </w:tc>
        <w:tc>
          <w:tcPr>
            <w:tcW w:type="dxa" w:w="1072"/>
            <w:vAlign w:val="center"/>
          </w:tcPr>
          <w:p>
            <w:pPr>
              <w:jc w:val="center"/>
            </w:pPr>
            <w:r/>
            <w:r>
              <w:rPr>
                <w:color w:val="0F172A"/>
                <w:sz w:val="17"/>
              </w:rPr>
              <w:t>1</w:t>
            </w:r>
          </w:p>
        </w:tc>
        <w:tc>
          <w:tcPr>
            <w:tcW w:type="dxa" w:w="1072"/>
            <w:vAlign w:val="center"/>
          </w:tcPr>
          <w:p>
            <w:pPr>
              <w:jc w:val="center"/>
            </w:pPr>
            <w:r/>
            <w:r>
              <w:rPr>
                <w:color w:val="0F172A"/>
                <w:sz w:val="17"/>
              </w:rPr>
              <w:t>0</w:t>
            </w:r>
          </w:p>
        </w:tc>
        <w:tc>
          <w:tcPr>
            <w:tcW w:type="dxa" w:w="1072"/>
            <w:vAlign w:val="center"/>
          </w:tcPr>
          <w:p>
            <w:pPr>
              <w:jc w:val="center"/>
            </w:pPr>
            <w:r/>
            <w:r>
              <w:rPr>
                <w:color w:val="0F172A"/>
                <w:sz w:val="17"/>
              </w:rPr>
              <w:t>0.1%</w:t>
            </w:r>
          </w:p>
        </w:tc>
      </w:tr>
      <w:tr>
        <w:tc>
          <w:tcPr>
            <w:tcW w:type="dxa" w:w="1072"/>
            <w:vAlign w:val="center"/>
            <w:shd w:fill="F8FAFC" w:val="clear"/>
          </w:tcPr>
          <w:p>
            <w:pPr>
              <w:jc w:val="left"/>
            </w:pPr>
            <w:r/>
            <w:r>
              <w:rPr>
                <w:b/>
                <w:color w:val="0F172A"/>
                <w:sz w:val="17"/>
              </w:rPr>
              <w:t>Statewide Total</w:t>
            </w:r>
          </w:p>
        </w:tc>
        <w:tc>
          <w:tcPr>
            <w:tcW w:type="dxa" w:w="1072"/>
            <w:vAlign w:val="center"/>
            <w:shd w:fill="F8FAFC" w:val="clear"/>
          </w:tcPr>
          <w:p>
            <w:pPr>
              <w:jc w:val="center"/>
            </w:pPr>
            <w:r/>
            <w:r>
              <w:rPr>
                <w:color w:val="0F172A"/>
                <w:sz w:val="17"/>
              </w:rPr>
              <w:t>3,156</w:t>
            </w:r>
          </w:p>
        </w:tc>
        <w:tc>
          <w:tcPr>
            <w:tcW w:type="dxa" w:w="1072"/>
            <w:vAlign w:val="center"/>
            <w:shd w:fill="F8FAFC" w:val="clear"/>
          </w:tcPr>
          <w:p>
            <w:pPr>
              <w:jc w:val="center"/>
            </w:pPr>
            <w:r/>
            <w:r>
              <w:rPr>
                <w:color w:val="0F172A"/>
                <w:sz w:val="17"/>
              </w:rPr>
              <w:t>0.0589</w:t>
            </w:r>
          </w:p>
        </w:tc>
        <w:tc>
          <w:tcPr>
            <w:tcW w:type="dxa" w:w="1072"/>
            <w:vAlign w:val="center"/>
            <w:shd w:fill="F8FAFC" w:val="clear"/>
          </w:tcPr>
          <w:p>
            <w:pPr>
              <w:jc w:val="center"/>
            </w:pPr>
            <w:r/>
            <w:r>
              <w:rPr>
                <w:color w:val="0F172A"/>
                <w:sz w:val="17"/>
              </w:rPr>
              <w:t>0.0370</w:t>
            </w:r>
          </w:p>
        </w:tc>
        <w:tc>
          <w:tcPr>
            <w:tcW w:type="dxa" w:w="1072"/>
            <w:vAlign w:val="center"/>
            <w:shd w:fill="F8FAFC" w:val="clear"/>
          </w:tcPr>
          <w:p>
            <w:pPr>
              <w:jc w:val="center"/>
            </w:pPr>
            <w:r/>
            <w:r>
              <w:rPr>
                <w:color w:val="0F172A"/>
                <w:sz w:val="17"/>
              </w:rPr>
              <w:t>2,899 (91.9%)</w:t>
            </w:r>
          </w:p>
        </w:tc>
        <w:tc>
          <w:tcPr>
            <w:tcW w:type="dxa" w:w="1072"/>
            <w:vAlign w:val="center"/>
            <w:shd w:fill="F8FAFC" w:val="clear"/>
          </w:tcPr>
          <w:p>
            <w:pPr>
              <w:jc w:val="center"/>
            </w:pPr>
            <w:r/>
            <w:r>
              <w:rPr>
                <w:color w:val="0F172A"/>
                <w:sz w:val="17"/>
              </w:rPr>
              <w:t>137 (4.3%)</w:t>
            </w:r>
          </w:p>
        </w:tc>
        <w:tc>
          <w:tcPr>
            <w:tcW w:type="dxa" w:w="1072"/>
            <w:vAlign w:val="center"/>
            <w:shd w:fill="F8FAFC" w:val="clear"/>
          </w:tcPr>
          <w:p>
            <w:pPr>
              <w:jc w:val="center"/>
            </w:pPr>
            <w:r/>
            <w:r>
              <w:rPr>
                <w:color w:val="0F172A"/>
                <w:sz w:val="17"/>
              </w:rPr>
              <w:t>110 (3.5%)</w:t>
            </w:r>
          </w:p>
        </w:tc>
        <w:tc>
          <w:tcPr>
            <w:tcW w:type="dxa" w:w="1072"/>
            <w:vAlign w:val="center"/>
            <w:shd w:fill="F8FAFC" w:val="clear"/>
          </w:tcPr>
          <w:p>
            <w:pPr>
              <w:jc w:val="center"/>
            </w:pPr>
            <w:r/>
            <w:r>
              <w:rPr>
                <w:color w:val="0F172A"/>
                <w:sz w:val="17"/>
              </w:rPr>
              <w:t>10 (0.3%)</w:t>
            </w:r>
          </w:p>
        </w:tc>
        <w:tc>
          <w:tcPr>
            <w:tcW w:type="dxa" w:w="1072"/>
            <w:vAlign w:val="center"/>
            <w:shd w:fill="F8FAFC" w:val="clear"/>
          </w:tcPr>
          <w:p>
            <w:pPr>
              <w:jc w:val="center"/>
            </w:pPr>
            <w:r/>
            <w:r>
              <w:rPr>
                <w:color w:val="0F172A"/>
                <w:sz w:val="17"/>
              </w:rPr>
              <w:t>3.8%</w:t>
            </w:r>
          </w:p>
        </w:tc>
      </w:tr>
    </w:tbl>
    <w:p/>
    <w:p>
      <w:pPr>
        <w:pStyle w:val="Heading2"/>
      </w:pPr>
      <w:r>
        <w:rPr>
          <w:color w:val="0F172A"/>
        </w:rPr>
        <w:t>7.2 Critical Transport Corridor Stress Testing (Section 33)</w:t>
      </w:r>
    </w:p>
    <w:p>
      <w:pPr>
        <w:spacing w:after="120" w:line="300" w:lineRule="exact"/>
      </w:pPr>
      <w:r>
        <w:rPr>
          <w:b w:val="0"/>
          <w:i w:val="0"/>
          <w:color w:val="0F172A"/>
          <w:sz w:val="21"/>
        </w:rPr>
        <w:t>Evaluated across 5 arterial highways under multi-scenario precipitation forcing:</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vAlign w:val="center"/>
            <w:shd w:fill="1E293B" w:val="clear"/>
          </w:tcPr>
          <w:p>
            <w:pPr>
              <w:jc w:val="center"/>
            </w:pPr>
            <w:r/>
            <w:r>
              <w:rPr>
                <w:b/>
                <w:color w:val="FFFFFF"/>
                <w:sz w:val="18"/>
              </w:rPr>
              <w:t>Corridor</w:t>
            </w:r>
          </w:p>
        </w:tc>
        <w:tc>
          <w:tcPr>
            <w:tcW w:type="dxa" w:w="1206"/>
            <w:vAlign w:val="center"/>
            <w:shd w:fill="1E293B" w:val="clear"/>
          </w:tcPr>
          <w:p>
            <w:pPr>
              <w:jc w:val="center"/>
            </w:pPr>
            <w:r/>
            <w:r>
              <w:rPr>
                <w:b/>
                <w:color w:val="FFFFFF"/>
                <w:sz w:val="18"/>
              </w:rPr>
              <w:t>Route</w:t>
            </w:r>
          </w:p>
        </w:tc>
        <w:tc>
          <w:tcPr>
            <w:tcW w:type="dxa" w:w="1206"/>
            <w:vAlign w:val="center"/>
            <w:shd w:fill="1E293B" w:val="clear"/>
          </w:tcPr>
          <w:p>
            <w:pPr>
              <w:jc w:val="center"/>
            </w:pPr>
            <w:r/>
            <w:r>
              <w:rPr>
                <w:b/>
                <w:color w:val="FFFFFF"/>
                <w:sz w:val="18"/>
              </w:rPr>
              <w:t>Description</w:t>
            </w:r>
          </w:p>
        </w:tc>
        <w:tc>
          <w:tcPr>
            <w:tcW w:type="dxa" w:w="1206"/>
            <w:vAlign w:val="center"/>
            <w:shd w:fill="1E293B" w:val="clear"/>
          </w:tcPr>
          <w:p>
            <w:pPr>
              <w:jc w:val="center"/>
            </w:pPr>
            <w:r/>
            <w:r>
              <w:rPr>
                <w:b/>
                <w:color w:val="FFFFFF"/>
                <w:sz w:val="18"/>
              </w:rPr>
              <w:t>Length</w:t>
            </w:r>
          </w:p>
        </w:tc>
        <w:tc>
          <w:tcPr>
            <w:tcW w:type="dxa" w:w="1206"/>
            <w:vAlign w:val="center"/>
            <w:shd w:fill="1E293B" w:val="clear"/>
          </w:tcPr>
          <w:p>
            <w:pPr>
              <w:jc w:val="center"/>
            </w:pPr>
            <w:r/>
            <w:r>
              <w:rPr>
                <w:b/>
                <w:color w:val="FFFFFF"/>
                <w:sz w:val="18"/>
              </w:rPr>
              <w:t>P(S)</w:t>
            </w:r>
          </w:p>
        </w:tc>
        <w:tc>
          <w:tcPr>
            <w:tcW w:type="dxa" w:w="1206"/>
            <w:vAlign w:val="center"/>
            <w:shd w:fill="1E293B" w:val="clear"/>
          </w:tcPr>
          <w:p>
            <w:pPr>
              <w:jc w:val="center"/>
            </w:pPr>
            <w:r/>
            <w:r>
              <w:rPr>
                <w:b/>
                <w:color w:val="FFFFFF"/>
                <w:sz w:val="18"/>
              </w:rPr>
              <w:t>Dry Season</w:t>
            </w:r>
          </w:p>
        </w:tc>
        <w:tc>
          <w:tcPr>
            <w:tcW w:type="dxa" w:w="1206"/>
            <w:vAlign w:val="center"/>
            <w:shd w:fill="1E293B" w:val="clear"/>
          </w:tcPr>
          <w:p>
            <w:pPr>
              <w:jc w:val="center"/>
            </w:pPr>
            <w:r/>
            <w:r>
              <w:rPr>
                <w:b/>
                <w:color w:val="FFFFFF"/>
                <w:sz w:val="18"/>
              </w:rPr>
              <w:t>Monsoon Surge</w:t>
            </w:r>
          </w:p>
        </w:tc>
        <w:tc>
          <w:tcPr>
            <w:tcW w:type="dxa" w:w="1206"/>
            <w:vAlign w:val="center"/>
            <w:shd w:fill="1E293B" w:val="clear"/>
          </w:tcPr>
          <w:p>
            <w:pPr>
              <w:jc w:val="center"/>
            </w:pPr>
            <w:r/>
            <w:r>
              <w:rPr>
                <w:b/>
                <w:color w:val="FFFFFF"/>
                <w:sz w:val="18"/>
              </w:rPr>
              <w:t>Cloudburst</w:t>
            </w:r>
          </w:p>
        </w:tc>
      </w:tr>
      <w:tr>
        <w:tc>
          <w:tcPr>
            <w:tcW w:type="dxa" w:w="1206"/>
            <w:vAlign w:val="center"/>
          </w:tcPr>
          <w:p>
            <w:pPr>
              <w:jc w:val="left"/>
            </w:pPr>
            <w:r/>
            <w:r>
              <w:rPr>
                <w:b/>
                <w:color w:val="0F172A"/>
                <w:sz w:val="17"/>
              </w:rPr>
              <w:t>CORR_01</w:t>
            </w:r>
          </w:p>
        </w:tc>
        <w:tc>
          <w:tcPr>
            <w:tcW w:type="dxa" w:w="1206"/>
            <w:vAlign w:val="center"/>
          </w:tcPr>
          <w:p>
            <w:pPr>
              <w:jc w:val="center"/>
            </w:pPr>
            <w:r/>
            <w:r>
              <w:rPr>
                <w:color w:val="0F172A"/>
                <w:sz w:val="17"/>
              </w:rPr>
              <w:t>NH-40</w:t>
            </w:r>
          </w:p>
        </w:tc>
        <w:tc>
          <w:tcPr>
            <w:tcW w:type="dxa" w:w="1206"/>
            <w:vAlign w:val="center"/>
          </w:tcPr>
          <w:p>
            <w:pPr>
              <w:jc w:val="center"/>
            </w:pPr>
            <w:r/>
            <w:r>
              <w:rPr>
                <w:color w:val="0F172A"/>
                <w:sz w:val="17"/>
              </w:rPr>
              <w:t>Shillong — Guwahati</w:t>
            </w:r>
          </w:p>
        </w:tc>
        <w:tc>
          <w:tcPr>
            <w:tcW w:type="dxa" w:w="1206"/>
            <w:vAlign w:val="center"/>
          </w:tcPr>
          <w:p>
            <w:pPr>
              <w:jc w:val="center"/>
            </w:pPr>
            <w:r/>
            <w:r>
              <w:rPr>
                <w:color w:val="0F172A"/>
                <w:sz w:val="17"/>
              </w:rPr>
              <w:t>103 km</w:t>
            </w:r>
          </w:p>
        </w:tc>
        <w:tc>
          <w:tcPr>
            <w:tcW w:type="dxa" w:w="1206"/>
            <w:vAlign w:val="center"/>
          </w:tcPr>
          <w:p>
            <w:pPr>
              <w:jc w:val="center"/>
            </w:pPr>
            <w:r/>
            <w:r>
              <w:rPr>
                <w:color w:val="0F172A"/>
                <w:sz w:val="17"/>
              </w:rPr>
              <w:t>0.6120</w:t>
            </w:r>
          </w:p>
        </w:tc>
        <w:tc>
          <w:tcPr>
            <w:tcW w:type="dxa" w:w="1206"/>
            <w:vAlign w:val="center"/>
          </w:tcPr>
          <w:p>
            <w:pPr>
              <w:jc w:val="center"/>
            </w:pPr>
            <w:r/>
            <w:r>
              <w:rPr>
                <w:color w:val="0F172A"/>
                <w:sz w:val="17"/>
              </w:rPr>
              <w:t>0.0116 (Green)</w:t>
            </w:r>
          </w:p>
        </w:tc>
        <w:tc>
          <w:tcPr>
            <w:tcW w:type="dxa" w:w="1206"/>
            <w:vAlign w:val="center"/>
          </w:tcPr>
          <w:p>
            <w:pPr>
              <w:jc w:val="center"/>
            </w:pPr>
            <w:r/>
            <w:r>
              <w:rPr>
                <w:color w:val="0F172A"/>
                <w:sz w:val="17"/>
              </w:rPr>
              <w:t>0.3846 (Red)</w:t>
            </w:r>
          </w:p>
        </w:tc>
        <w:tc>
          <w:tcPr>
            <w:tcW w:type="dxa" w:w="1206"/>
            <w:vAlign w:val="center"/>
          </w:tcPr>
          <w:p>
            <w:pPr>
              <w:jc w:val="center"/>
            </w:pPr>
            <w:r/>
            <w:r>
              <w:rPr>
                <w:color w:val="0F172A"/>
                <w:sz w:val="17"/>
              </w:rPr>
              <w:t>0.4576 (Red)</w:t>
            </w:r>
          </w:p>
        </w:tc>
      </w:tr>
      <w:tr>
        <w:tc>
          <w:tcPr>
            <w:tcW w:type="dxa" w:w="1206"/>
            <w:vAlign w:val="center"/>
            <w:shd w:fill="F8FAFC" w:val="clear"/>
          </w:tcPr>
          <w:p>
            <w:pPr>
              <w:jc w:val="left"/>
            </w:pPr>
            <w:r/>
            <w:r>
              <w:rPr>
                <w:b/>
                <w:color w:val="0F172A"/>
                <w:sz w:val="17"/>
              </w:rPr>
              <w:t>CORR_02</w:t>
            </w:r>
          </w:p>
        </w:tc>
        <w:tc>
          <w:tcPr>
            <w:tcW w:type="dxa" w:w="1206"/>
            <w:vAlign w:val="center"/>
            <w:shd w:fill="F8FAFC" w:val="clear"/>
          </w:tcPr>
          <w:p>
            <w:pPr>
              <w:jc w:val="center"/>
            </w:pPr>
            <w:r/>
            <w:r>
              <w:rPr>
                <w:color w:val="0F172A"/>
                <w:sz w:val="17"/>
              </w:rPr>
              <w:t>NH-44/NH-6</w:t>
            </w:r>
          </w:p>
        </w:tc>
        <w:tc>
          <w:tcPr>
            <w:tcW w:type="dxa" w:w="1206"/>
            <w:vAlign w:val="center"/>
            <w:shd w:fill="F8FAFC" w:val="clear"/>
          </w:tcPr>
          <w:p>
            <w:pPr>
              <w:jc w:val="center"/>
            </w:pPr>
            <w:r/>
            <w:r>
              <w:rPr>
                <w:color w:val="0F172A"/>
                <w:sz w:val="17"/>
              </w:rPr>
              <w:t>Jowai — Ratacherra</w:t>
            </w:r>
          </w:p>
        </w:tc>
        <w:tc>
          <w:tcPr>
            <w:tcW w:type="dxa" w:w="1206"/>
            <w:vAlign w:val="center"/>
            <w:shd w:fill="F8FAFC" w:val="clear"/>
          </w:tcPr>
          <w:p>
            <w:pPr>
              <w:jc w:val="center"/>
            </w:pPr>
            <w:r/>
            <w:r>
              <w:rPr>
                <w:color w:val="0F172A"/>
                <w:sz w:val="17"/>
              </w:rPr>
              <w:t>142 km</w:t>
            </w:r>
          </w:p>
        </w:tc>
        <w:tc>
          <w:tcPr>
            <w:tcW w:type="dxa" w:w="1206"/>
            <w:vAlign w:val="center"/>
            <w:shd w:fill="F8FAFC" w:val="clear"/>
          </w:tcPr>
          <w:p>
            <w:pPr>
              <w:jc w:val="center"/>
            </w:pPr>
            <w:r/>
            <w:r>
              <w:rPr>
                <w:color w:val="0F172A"/>
                <w:sz w:val="17"/>
              </w:rPr>
              <w:t>0.6845</w:t>
            </w:r>
          </w:p>
        </w:tc>
        <w:tc>
          <w:tcPr>
            <w:tcW w:type="dxa" w:w="1206"/>
            <w:vAlign w:val="center"/>
            <w:shd w:fill="F8FAFC" w:val="clear"/>
          </w:tcPr>
          <w:p>
            <w:pPr>
              <w:jc w:val="center"/>
            </w:pPr>
            <w:r/>
            <w:r>
              <w:rPr>
                <w:color w:val="0F172A"/>
                <w:sz w:val="17"/>
              </w:rPr>
              <w:t>0.0129 (Green)</w:t>
            </w:r>
          </w:p>
        </w:tc>
        <w:tc>
          <w:tcPr>
            <w:tcW w:type="dxa" w:w="1206"/>
            <w:vAlign w:val="center"/>
            <w:shd w:fill="F8FAFC" w:val="clear"/>
          </w:tcPr>
          <w:p>
            <w:pPr>
              <w:jc w:val="center"/>
            </w:pPr>
            <w:r/>
            <w:r>
              <w:rPr>
                <w:color w:val="0F172A"/>
                <w:sz w:val="17"/>
              </w:rPr>
              <w:t>0.4301 (Red)</w:t>
            </w:r>
          </w:p>
        </w:tc>
        <w:tc>
          <w:tcPr>
            <w:tcW w:type="dxa" w:w="1206"/>
            <w:vAlign w:val="center"/>
            <w:shd w:fill="F8FAFC" w:val="clear"/>
          </w:tcPr>
          <w:p>
            <w:pPr>
              <w:jc w:val="center"/>
            </w:pPr>
            <w:r/>
            <w:r>
              <w:rPr>
                <w:color w:val="0F172A"/>
                <w:sz w:val="17"/>
              </w:rPr>
              <w:t>0.5118 (Red)</w:t>
            </w:r>
          </w:p>
        </w:tc>
      </w:tr>
      <w:tr>
        <w:tc>
          <w:tcPr>
            <w:tcW w:type="dxa" w:w="1206"/>
            <w:vAlign w:val="center"/>
          </w:tcPr>
          <w:p>
            <w:pPr>
              <w:jc w:val="left"/>
            </w:pPr>
            <w:r/>
            <w:r>
              <w:rPr>
                <w:b/>
                <w:color w:val="0F172A"/>
                <w:sz w:val="17"/>
              </w:rPr>
              <w:t>CORR_03</w:t>
            </w:r>
          </w:p>
        </w:tc>
        <w:tc>
          <w:tcPr>
            <w:tcW w:type="dxa" w:w="1206"/>
            <w:vAlign w:val="center"/>
          </w:tcPr>
          <w:p>
            <w:pPr>
              <w:jc w:val="center"/>
            </w:pPr>
            <w:r/>
            <w:r>
              <w:rPr>
                <w:color w:val="0F172A"/>
                <w:sz w:val="17"/>
              </w:rPr>
              <w:t>SH-5</w:t>
            </w:r>
          </w:p>
        </w:tc>
        <w:tc>
          <w:tcPr>
            <w:tcW w:type="dxa" w:w="1206"/>
            <w:vAlign w:val="center"/>
          </w:tcPr>
          <w:p>
            <w:pPr>
              <w:jc w:val="center"/>
            </w:pPr>
            <w:r/>
            <w:r>
              <w:rPr>
                <w:color w:val="0F172A"/>
                <w:sz w:val="17"/>
              </w:rPr>
              <w:t>Shillong — Cherrapunjee</w:t>
            </w:r>
          </w:p>
        </w:tc>
        <w:tc>
          <w:tcPr>
            <w:tcW w:type="dxa" w:w="1206"/>
            <w:vAlign w:val="center"/>
          </w:tcPr>
          <w:p>
            <w:pPr>
              <w:jc w:val="center"/>
            </w:pPr>
            <w:r/>
            <w:r>
              <w:rPr>
                <w:color w:val="0F172A"/>
                <w:sz w:val="17"/>
              </w:rPr>
              <w:t>54 km</w:t>
            </w:r>
          </w:p>
        </w:tc>
        <w:tc>
          <w:tcPr>
            <w:tcW w:type="dxa" w:w="1206"/>
            <w:vAlign w:val="center"/>
          </w:tcPr>
          <w:p>
            <w:pPr>
              <w:jc w:val="center"/>
            </w:pPr>
            <w:r/>
            <w:r>
              <w:rPr>
                <w:color w:val="0F172A"/>
                <w:sz w:val="17"/>
              </w:rPr>
              <w:t>0.6910</w:t>
            </w:r>
          </w:p>
        </w:tc>
        <w:tc>
          <w:tcPr>
            <w:tcW w:type="dxa" w:w="1206"/>
            <w:vAlign w:val="center"/>
          </w:tcPr>
          <w:p>
            <w:pPr>
              <w:jc w:val="center"/>
            </w:pPr>
            <w:r/>
            <w:r>
              <w:rPr>
                <w:color w:val="0F172A"/>
                <w:sz w:val="17"/>
              </w:rPr>
              <w:t>0.0131 (Green)</w:t>
            </w:r>
          </w:p>
        </w:tc>
        <w:tc>
          <w:tcPr>
            <w:tcW w:type="dxa" w:w="1206"/>
            <w:vAlign w:val="center"/>
          </w:tcPr>
          <w:p>
            <w:pPr>
              <w:jc w:val="center"/>
            </w:pPr>
            <w:r/>
            <w:r>
              <w:rPr>
                <w:color w:val="0F172A"/>
                <w:sz w:val="17"/>
              </w:rPr>
              <w:t>0.4342 (Red)</w:t>
            </w:r>
          </w:p>
        </w:tc>
        <w:tc>
          <w:tcPr>
            <w:tcW w:type="dxa" w:w="1206"/>
            <w:vAlign w:val="center"/>
          </w:tcPr>
          <w:p>
            <w:pPr>
              <w:jc w:val="center"/>
            </w:pPr>
            <w:r/>
            <w:r>
              <w:rPr>
                <w:color w:val="0F172A"/>
                <w:sz w:val="17"/>
              </w:rPr>
              <w:t>0.5167 (Red)</w:t>
            </w:r>
          </w:p>
        </w:tc>
      </w:tr>
      <w:tr>
        <w:tc>
          <w:tcPr>
            <w:tcW w:type="dxa" w:w="1206"/>
            <w:vAlign w:val="center"/>
            <w:shd w:fill="F8FAFC" w:val="clear"/>
          </w:tcPr>
          <w:p>
            <w:pPr>
              <w:jc w:val="left"/>
            </w:pPr>
            <w:r/>
            <w:r>
              <w:rPr>
                <w:b/>
                <w:color w:val="0F172A"/>
                <w:sz w:val="17"/>
              </w:rPr>
              <w:t>CORR_04</w:t>
            </w:r>
          </w:p>
        </w:tc>
        <w:tc>
          <w:tcPr>
            <w:tcW w:type="dxa" w:w="1206"/>
            <w:vAlign w:val="center"/>
            <w:shd w:fill="F8FAFC" w:val="clear"/>
          </w:tcPr>
          <w:p>
            <w:pPr>
              <w:jc w:val="center"/>
            </w:pPr>
            <w:r/>
            <w:r>
              <w:rPr>
                <w:color w:val="0F172A"/>
                <w:sz w:val="17"/>
              </w:rPr>
              <w:t>SH-12</w:t>
            </w:r>
          </w:p>
        </w:tc>
        <w:tc>
          <w:tcPr>
            <w:tcW w:type="dxa" w:w="1206"/>
            <w:vAlign w:val="center"/>
            <w:shd w:fill="F8FAFC" w:val="clear"/>
          </w:tcPr>
          <w:p>
            <w:pPr>
              <w:jc w:val="center"/>
            </w:pPr>
            <w:r/>
            <w:r>
              <w:rPr>
                <w:color w:val="0F172A"/>
                <w:sz w:val="17"/>
              </w:rPr>
              <w:t>Tura — Rongram</w:t>
            </w:r>
          </w:p>
        </w:tc>
        <w:tc>
          <w:tcPr>
            <w:tcW w:type="dxa" w:w="1206"/>
            <w:vAlign w:val="center"/>
            <w:shd w:fill="F8FAFC" w:val="clear"/>
          </w:tcPr>
          <w:p>
            <w:pPr>
              <w:jc w:val="center"/>
            </w:pPr>
            <w:r/>
            <w:r>
              <w:rPr>
                <w:color w:val="0F172A"/>
                <w:sz w:val="17"/>
              </w:rPr>
              <w:t>88 km</w:t>
            </w:r>
          </w:p>
        </w:tc>
        <w:tc>
          <w:tcPr>
            <w:tcW w:type="dxa" w:w="1206"/>
            <w:vAlign w:val="center"/>
            <w:shd w:fill="F8FAFC" w:val="clear"/>
          </w:tcPr>
          <w:p>
            <w:pPr>
              <w:jc w:val="center"/>
            </w:pPr>
            <w:r/>
            <w:r>
              <w:rPr>
                <w:color w:val="0F172A"/>
                <w:sz w:val="17"/>
              </w:rPr>
              <w:t>0.2454</w:t>
            </w:r>
          </w:p>
        </w:tc>
        <w:tc>
          <w:tcPr>
            <w:tcW w:type="dxa" w:w="1206"/>
            <w:vAlign w:val="center"/>
            <w:shd w:fill="F8FAFC" w:val="clear"/>
          </w:tcPr>
          <w:p>
            <w:pPr>
              <w:jc w:val="center"/>
            </w:pPr>
            <w:r/>
            <w:r>
              <w:rPr>
                <w:color w:val="0F172A"/>
                <w:sz w:val="17"/>
              </w:rPr>
              <w:t>0.0046 (Green)</w:t>
            </w:r>
          </w:p>
        </w:tc>
        <w:tc>
          <w:tcPr>
            <w:tcW w:type="dxa" w:w="1206"/>
            <w:vAlign w:val="center"/>
            <w:shd w:fill="F8FAFC" w:val="clear"/>
          </w:tcPr>
          <w:p>
            <w:pPr>
              <w:jc w:val="center"/>
            </w:pPr>
            <w:r/>
            <w:r>
              <w:rPr>
                <w:color w:val="0F172A"/>
                <w:sz w:val="17"/>
              </w:rPr>
              <w:t>0.1542 (Orange)</w:t>
            </w:r>
          </w:p>
        </w:tc>
        <w:tc>
          <w:tcPr>
            <w:tcW w:type="dxa" w:w="1206"/>
            <w:vAlign w:val="center"/>
            <w:shd w:fill="F8FAFC" w:val="clear"/>
          </w:tcPr>
          <w:p>
            <w:pPr>
              <w:jc w:val="center"/>
            </w:pPr>
            <w:r/>
            <w:r>
              <w:rPr>
                <w:color w:val="0F172A"/>
                <w:sz w:val="17"/>
              </w:rPr>
              <w:t>0.1835 (Orange)</w:t>
            </w:r>
          </w:p>
        </w:tc>
      </w:tr>
      <w:tr>
        <w:tc>
          <w:tcPr>
            <w:tcW w:type="dxa" w:w="1206"/>
            <w:vAlign w:val="center"/>
          </w:tcPr>
          <w:p>
            <w:pPr>
              <w:jc w:val="left"/>
            </w:pPr>
            <w:r/>
            <w:r>
              <w:rPr>
                <w:b/>
                <w:color w:val="0F172A"/>
                <w:sz w:val="17"/>
              </w:rPr>
              <w:t>CORR_05</w:t>
            </w:r>
          </w:p>
        </w:tc>
        <w:tc>
          <w:tcPr>
            <w:tcW w:type="dxa" w:w="1206"/>
            <w:vAlign w:val="center"/>
          </w:tcPr>
          <w:p>
            <w:pPr>
              <w:jc w:val="center"/>
            </w:pPr>
            <w:r/>
            <w:r>
              <w:rPr>
                <w:color w:val="0F172A"/>
                <w:sz w:val="17"/>
              </w:rPr>
              <w:t>MDR-22</w:t>
            </w:r>
          </w:p>
        </w:tc>
        <w:tc>
          <w:tcPr>
            <w:tcW w:type="dxa" w:w="1206"/>
            <w:vAlign w:val="center"/>
          </w:tcPr>
          <w:p>
            <w:pPr>
              <w:jc w:val="center"/>
            </w:pPr>
            <w:r/>
            <w:r>
              <w:rPr>
                <w:color w:val="0F172A"/>
                <w:sz w:val="17"/>
              </w:rPr>
              <w:t>Mairang — Nongstoin</w:t>
            </w:r>
          </w:p>
        </w:tc>
        <w:tc>
          <w:tcPr>
            <w:tcW w:type="dxa" w:w="1206"/>
            <w:vAlign w:val="center"/>
          </w:tcPr>
          <w:p>
            <w:pPr>
              <w:jc w:val="center"/>
            </w:pPr>
            <w:r/>
            <w:r>
              <w:rPr>
                <w:color w:val="0F172A"/>
                <w:sz w:val="17"/>
              </w:rPr>
              <w:t>72 km</w:t>
            </w:r>
          </w:p>
        </w:tc>
        <w:tc>
          <w:tcPr>
            <w:tcW w:type="dxa" w:w="1206"/>
            <w:vAlign w:val="center"/>
          </w:tcPr>
          <w:p>
            <w:pPr>
              <w:jc w:val="center"/>
            </w:pPr>
            <w:r/>
            <w:r>
              <w:rPr>
                <w:color w:val="0F172A"/>
                <w:sz w:val="17"/>
              </w:rPr>
              <w:t>0.4992</w:t>
            </w:r>
          </w:p>
        </w:tc>
        <w:tc>
          <w:tcPr>
            <w:tcW w:type="dxa" w:w="1206"/>
            <w:vAlign w:val="center"/>
          </w:tcPr>
          <w:p>
            <w:pPr>
              <w:jc w:val="center"/>
            </w:pPr>
            <w:r/>
            <w:r>
              <w:rPr>
                <w:color w:val="0F172A"/>
                <w:sz w:val="17"/>
              </w:rPr>
              <w:t>0.0094 (Green)</w:t>
            </w:r>
          </w:p>
        </w:tc>
        <w:tc>
          <w:tcPr>
            <w:tcW w:type="dxa" w:w="1206"/>
            <w:vAlign w:val="center"/>
          </w:tcPr>
          <w:p>
            <w:pPr>
              <w:jc w:val="center"/>
            </w:pPr>
            <w:r/>
            <w:r>
              <w:rPr>
                <w:color w:val="0F172A"/>
                <w:sz w:val="17"/>
              </w:rPr>
              <w:t>0.3137 (Orange)</w:t>
            </w:r>
          </w:p>
        </w:tc>
        <w:tc>
          <w:tcPr>
            <w:tcW w:type="dxa" w:w="1206"/>
            <w:vAlign w:val="center"/>
          </w:tcPr>
          <w:p>
            <w:pPr>
              <w:jc w:val="center"/>
            </w:pPr>
            <w:r/>
            <w:r>
              <w:rPr>
                <w:color w:val="0F172A"/>
                <w:sz w:val="17"/>
              </w:rPr>
              <w:t>0.3733 (Red)</w:t>
            </w:r>
          </w:p>
        </w:tc>
      </w:tr>
    </w:tbl>
    <w:p>
      <w:r>
        <w:br w:type="page"/>
      </w:r>
    </w:p>
    <w:p>
      <w:pPr>
        <w:pStyle w:val="Heading1"/>
      </w:pPr>
      <w:r>
        <w:rPr>
          <w:color w:val="0F172A"/>
        </w:rPr>
        <w:t>8. Phase 4: Production FastAPI Backend Engine (Section 35)</w:t>
      </w:r>
    </w:p>
    <w:p>
      <w:pPr>
        <w:spacing w:after="120" w:line="300" w:lineRule="exact"/>
      </w:pPr>
      <w:r>
        <w:rPr>
          <w:b w:val="0"/>
          <w:i w:val="0"/>
          <w:color w:val="0F172A"/>
          <w:sz w:val="21"/>
        </w:rPr>
        <w:t>Built inside backend/app/ adhering to modern REST standards with zero external database dependencies.</w:t>
      </w:r>
    </w:p>
    <w:p>
      <w:pPr>
        <w:pStyle w:val="Heading2"/>
      </w:pPr>
      <w:r>
        <w:rPr>
          <w:color w:val="0F172A"/>
        </w:rPr>
        <w:t>8.1 API Endpoints Catalog</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1E293B" w:val="clear"/>
          </w:tcPr>
          <w:p>
            <w:pPr>
              <w:jc w:val="center"/>
            </w:pPr>
            <w:r/>
            <w:r>
              <w:rPr>
                <w:b/>
                <w:color w:val="FFFFFF"/>
                <w:sz w:val="18"/>
              </w:rPr>
              <w:t>Endpoint</w:t>
            </w:r>
          </w:p>
        </w:tc>
        <w:tc>
          <w:tcPr>
            <w:tcW w:type="dxa" w:w="3216"/>
            <w:vAlign w:val="center"/>
            <w:shd w:fill="1E293B" w:val="clear"/>
          </w:tcPr>
          <w:p>
            <w:pPr>
              <w:jc w:val="center"/>
            </w:pPr>
            <w:r/>
            <w:r>
              <w:rPr>
                <w:b/>
                <w:color w:val="FFFFFF"/>
                <w:sz w:val="18"/>
              </w:rPr>
              <w:t>Method</w:t>
            </w:r>
          </w:p>
        </w:tc>
        <w:tc>
          <w:tcPr>
            <w:tcW w:type="dxa" w:w="3216"/>
            <w:vAlign w:val="center"/>
            <w:shd w:fill="1E293B" w:val="clear"/>
          </w:tcPr>
          <w:p>
            <w:pPr>
              <w:jc w:val="center"/>
            </w:pPr>
            <w:r/>
            <w:r>
              <w:rPr>
                <w:b/>
                <w:color w:val="FFFFFF"/>
                <w:sz w:val="18"/>
              </w:rPr>
              <w:t>Description</w:t>
            </w:r>
          </w:p>
        </w:tc>
      </w:tr>
      <w:tr>
        <w:tc>
          <w:tcPr>
            <w:tcW w:type="dxa" w:w="3216"/>
            <w:vAlign w:val="center"/>
          </w:tcPr>
          <w:p>
            <w:pPr>
              <w:jc w:val="left"/>
            </w:pPr>
            <w:r/>
            <w:r>
              <w:rPr>
                <w:b/>
                <w:color w:val="0F172A"/>
                <w:sz w:val="17"/>
              </w:rPr>
              <w:t>/</w:t>
            </w:r>
          </w:p>
        </w:tc>
        <w:tc>
          <w:tcPr>
            <w:tcW w:type="dxa" w:w="3216"/>
            <w:vAlign w:val="center"/>
          </w:tcPr>
          <w:p>
            <w:pPr>
              <w:jc w:val="center"/>
            </w:pPr>
            <w:r/>
            <w:r>
              <w:rPr>
                <w:color w:val="0F172A"/>
                <w:sz w:val="17"/>
              </w:rPr>
              <w:t>GET</w:t>
            </w:r>
          </w:p>
        </w:tc>
        <w:tc>
          <w:tcPr>
            <w:tcW w:type="dxa" w:w="3216"/>
            <w:vAlign w:val="center"/>
          </w:tcPr>
          <w:p>
            <w:pPr>
              <w:jc w:val="center"/>
            </w:pPr>
            <w:r/>
            <w:r>
              <w:rPr>
                <w:color w:val="0F172A"/>
                <w:sz w:val="17"/>
              </w:rPr>
              <w:t>Service status and API version</w:t>
            </w:r>
          </w:p>
        </w:tc>
      </w:tr>
      <w:tr>
        <w:tc>
          <w:tcPr>
            <w:tcW w:type="dxa" w:w="3216"/>
            <w:vAlign w:val="center"/>
            <w:shd w:fill="F8FAFC" w:val="clear"/>
          </w:tcPr>
          <w:p>
            <w:pPr>
              <w:jc w:val="left"/>
            </w:pPr>
            <w:r/>
            <w:r>
              <w:rPr>
                <w:b/>
                <w:color w:val="0F172A"/>
                <w:sz w:val="17"/>
              </w:rPr>
              <w:t>/api/v1/health</w:t>
            </w:r>
          </w:p>
        </w:tc>
        <w:tc>
          <w:tcPr>
            <w:tcW w:type="dxa" w:w="3216"/>
            <w:vAlign w:val="center"/>
            <w:shd w:fill="F8FAFC" w:val="clear"/>
          </w:tcPr>
          <w:p>
            <w:pPr>
              <w:jc w:val="center"/>
            </w:pPr>
            <w:r/>
            <w:r>
              <w:rPr>
                <w:color w:val="0F172A"/>
                <w:sz w:val="17"/>
              </w:rPr>
              <w:t>GET</w:t>
            </w:r>
          </w:p>
        </w:tc>
        <w:tc>
          <w:tcPr>
            <w:tcW w:type="dxa" w:w="3216"/>
            <w:vAlign w:val="center"/>
            <w:shd w:fill="F8FAFC" w:val="clear"/>
          </w:tcPr>
          <w:p>
            <w:pPr>
              <w:jc w:val="center"/>
            </w:pPr>
            <w:r/>
            <w:r>
              <w:rPr>
                <w:color w:val="0F172A"/>
                <w:sz w:val="17"/>
              </w:rPr>
              <w:t>Health probe checking Model A &amp; B memory residency</w:t>
            </w:r>
          </w:p>
        </w:tc>
      </w:tr>
      <w:tr>
        <w:tc>
          <w:tcPr>
            <w:tcW w:type="dxa" w:w="3216"/>
            <w:vAlign w:val="center"/>
          </w:tcPr>
          <w:p>
            <w:pPr>
              <w:jc w:val="left"/>
            </w:pPr>
            <w:r/>
            <w:r>
              <w:rPr>
                <w:b/>
                <w:color w:val="0F172A"/>
                <w:sz w:val="17"/>
              </w:rPr>
              <w:t>/api/v1/metadata</w:t>
            </w:r>
          </w:p>
        </w:tc>
        <w:tc>
          <w:tcPr>
            <w:tcW w:type="dxa" w:w="3216"/>
            <w:vAlign w:val="center"/>
          </w:tcPr>
          <w:p>
            <w:pPr>
              <w:jc w:val="center"/>
            </w:pPr>
            <w:r/>
            <w:r>
              <w:rPr>
                <w:color w:val="0F172A"/>
                <w:sz w:val="17"/>
              </w:rPr>
              <w:t>GET</w:t>
            </w:r>
          </w:p>
        </w:tc>
        <w:tc>
          <w:tcPr>
            <w:tcW w:type="dxa" w:w="3216"/>
            <w:vAlign w:val="center"/>
          </w:tcPr>
          <w:p>
            <w:pPr>
              <w:jc w:val="center"/>
            </w:pPr>
            <w:r/>
            <w:r>
              <w:rPr>
                <w:color w:val="0F172A"/>
                <w:sz w:val="17"/>
              </w:rPr>
              <w:t>Cryptographic checksums, feature counts, frozen threshold metadata</w:t>
            </w:r>
          </w:p>
        </w:tc>
      </w:tr>
      <w:tr>
        <w:tc>
          <w:tcPr>
            <w:tcW w:type="dxa" w:w="3216"/>
            <w:vAlign w:val="center"/>
            <w:shd w:fill="F8FAFC" w:val="clear"/>
          </w:tcPr>
          <w:p>
            <w:pPr>
              <w:jc w:val="left"/>
            </w:pPr>
            <w:r/>
            <w:r>
              <w:rPr>
                <w:b/>
                <w:color w:val="0F172A"/>
                <w:sz w:val="17"/>
              </w:rPr>
              <w:t>/api/v1/risk/grid</w:t>
            </w:r>
          </w:p>
        </w:tc>
        <w:tc>
          <w:tcPr>
            <w:tcW w:type="dxa" w:w="3216"/>
            <w:vAlign w:val="center"/>
            <w:shd w:fill="F8FAFC" w:val="clear"/>
          </w:tcPr>
          <w:p>
            <w:pPr>
              <w:jc w:val="center"/>
            </w:pPr>
            <w:r/>
            <w:r>
              <w:rPr>
                <w:color w:val="0F172A"/>
                <w:sz w:val="17"/>
              </w:rPr>
              <w:t>GET</w:t>
            </w:r>
          </w:p>
        </w:tc>
        <w:tc>
          <w:tcPr>
            <w:tcW w:type="dxa" w:w="3216"/>
            <w:vAlign w:val="center"/>
            <w:shd w:fill="F8FAFC" w:val="clear"/>
          </w:tcPr>
          <w:p>
            <w:pPr>
              <w:jc w:val="center"/>
            </w:pPr>
            <w:r/>
            <w:r>
              <w:rPr>
                <w:color w:val="0F172A"/>
                <w:sz w:val="17"/>
              </w:rPr>
              <w:t>Full 3,156-cell GeoJSON with optional block, tier, min-risk filtering</w:t>
            </w:r>
          </w:p>
        </w:tc>
      </w:tr>
      <w:tr>
        <w:tc>
          <w:tcPr>
            <w:tcW w:type="dxa" w:w="3216"/>
            <w:vAlign w:val="center"/>
          </w:tcPr>
          <w:p>
            <w:pPr>
              <w:jc w:val="left"/>
            </w:pPr>
            <w:r/>
            <w:r>
              <w:rPr>
                <w:b/>
                <w:color w:val="0F172A"/>
                <w:sz w:val="17"/>
              </w:rPr>
              <w:t>/api/v1/risk/grid/summary</w:t>
            </w:r>
          </w:p>
        </w:tc>
        <w:tc>
          <w:tcPr>
            <w:tcW w:type="dxa" w:w="3216"/>
            <w:vAlign w:val="center"/>
          </w:tcPr>
          <w:p>
            <w:pPr>
              <w:jc w:val="center"/>
            </w:pPr>
            <w:r/>
            <w:r>
              <w:rPr>
                <w:color w:val="0F172A"/>
                <w:sz w:val="17"/>
              </w:rPr>
              <w:t>GET</w:t>
            </w:r>
          </w:p>
        </w:tc>
        <w:tc>
          <w:tcPr>
            <w:tcW w:type="dxa" w:w="3216"/>
            <w:vAlign w:val="center"/>
          </w:tcPr>
          <w:p>
            <w:pPr>
              <w:jc w:val="center"/>
            </w:pPr>
            <w:r/>
            <w:r>
              <w:rPr>
                <w:color w:val="0F172A"/>
                <w:sz w:val="17"/>
              </w:rPr>
              <w:t>Aggregated block risk tables and high-risk percentages</w:t>
            </w:r>
          </w:p>
        </w:tc>
      </w:tr>
      <w:tr>
        <w:tc>
          <w:tcPr>
            <w:tcW w:type="dxa" w:w="3216"/>
            <w:vAlign w:val="center"/>
            <w:shd w:fill="F8FAFC" w:val="clear"/>
          </w:tcPr>
          <w:p>
            <w:pPr>
              <w:jc w:val="left"/>
            </w:pPr>
            <w:r/>
            <w:r>
              <w:rPr>
                <w:b/>
                <w:color w:val="0F172A"/>
                <w:sz w:val="17"/>
              </w:rPr>
              <w:t>/api/v1/risk/evaluate-point</w:t>
            </w:r>
          </w:p>
        </w:tc>
        <w:tc>
          <w:tcPr>
            <w:tcW w:type="dxa" w:w="3216"/>
            <w:vAlign w:val="center"/>
            <w:shd w:fill="F8FAFC" w:val="clear"/>
          </w:tcPr>
          <w:p>
            <w:pPr>
              <w:jc w:val="center"/>
            </w:pPr>
            <w:r/>
            <w:r>
              <w:rPr>
                <w:color w:val="0F172A"/>
                <w:sz w:val="17"/>
              </w:rPr>
              <w:t>POST</w:t>
            </w:r>
          </w:p>
        </w:tc>
        <w:tc>
          <w:tcPr>
            <w:tcW w:type="dxa" w:w="3216"/>
            <w:vAlign w:val="center"/>
            <w:shd w:fill="F8FAFC" w:val="clear"/>
          </w:tcPr>
          <w:p>
            <w:pPr>
              <w:jc w:val="center"/>
            </w:pPr>
            <w:r/>
            <w:r>
              <w:rPr>
                <w:color w:val="0F172A"/>
                <w:sz w:val="17"/>
              </w:rPr>
              <w:t>Evaluates single coordinate or custom P(S) + dynamic features</w:t>
            </w:r>
          </w:p>
        </w:tc>
      </w:tr>
      <w:tr>
        <w:tc>
          <w:tcPr>
            <w:tcW w:type="dxa" w:w="3216"/>
            <w:vAlign w:val="center"/>
          </w:tcPr>
          <w:p>
            <w:pPr>
              <w:jc w:val="left"/>
            </w:pPr>
            <w:r/>
            <w:r>
              <w:rPr>
                <w:b/>
                <w:color w:val="0F172A"/>
                <w:sz w:val="17"/>
              </w:rPr>
              <w:t>/api/v1/rainfall/status</w:t>
            </w:r>
          </w:p>
        </w:tc>
        <w:tc>
          <w:tcPr>
            <w:tcW w:type="dxa" w:w="3216"/>
            <w:vAlign w:val="center"/>
          </w:tcPr>
          <w:p>
            <w:pPr>
              <w:jc w:val="center"/>
            </w:pPr>
            <w:r/>
            <w:r>
              <w:rPr>
                <w:color w:val="0F172A"/>
                <w:sz w:val="17"/>
              </w:rPr>
              <w:t>GET</w:t>
            </w:r>
          </w:p>
        </w:tc>
        <w:tc>
          <w:tcPr>
            <w:tcW w:type="dxa" w:w="3216"/>
            <w:vAlign w:val="center"/>
          </w:tcPr>
          <w:p>
            <w:pPr>
              <w:jc w:val="center"/>
            </w:pPr>
            <w:r/>
            <w:r>
              <w:rPr>
                <w:color w:val="0F172A"/>
                <w:sz w:val="17"/>
              </w:rPr>
              <w:t>Transparent telemetry status (DEMO_SCENARIO vs live)</w:t>
            </w:r>
          </w:p>
        </w:tc>
      </w:tr>
      <w:tr>
        <w:tc>
          <w:tcPr>
            <w:tcW w:type="dxa" w:w="3216"/>
            <w:vAlign w:val="center"/>
            <w:shd w:fill="F8FAFC" w:val="clear"/>
          </w:tcPr>
          <w:p>
            <w:pPr>
              <w:jc w:val="left"/>
            </w:pPr>
            <w:r/>
            <w:r>
              <w:rPr>
                <w:b/>
                <w:color w:val="0F172A"/>
                <w:sz w:val="17"/>
              </w:rPr>
              <w:t>/api/v1/rainfall/current</w:t>
            </w:r>
          </w:p>
        </w:tc>
        <w:tc>
          <w:tcPr>
            <w:tcW w:type="dxa" w:w="3216"/>
            <w:vAlign w:val="center"/>
            <w:shd w:fill="F8FAFC" w:val="clear"/>
          </w:tcPr>
          <w:p>
            <w:pPr>
              <w:jc w:val="center"/>
            </w:pPr>
            <w:r/>
            <w:r>
              <w:rPr>
                <w:color w:val="0F172A"/>
                <w:sz w:val="17"/>
              </w:rPr>
              <w:t>GET</w:t>
            </w:r>
          </w:p>
        </w:tc>
        <w:tc>
          <w:tcPr>
            <w:tcW w:type="dxa" w:w="3216"/>
            <w:vAlign w:val="center"/>
            <w:shd w:fill="F8FAFC" w:val="clear"/>
          </w:tcPr>
          <w:p>
            <w:pPr>
              <w:jc w:val="center"/>
            </w:pPr>
            <w:r/>
            <w:r>
              <w:rPr>
                <w:color w:val="0F172A"/>
                <w:sz w:val="17"/>
              </w:rPr>
              <w:t>Active meteorological scenario payload</w:t>
            </w:r>
          </w:p>
        </w:tc>
      </w:tr>
      <w:tr>
        <w:tc>
          <w:tcPr>
            <w:tcW w:type="dxa" w:w="3216"/>
            <w:vAlign w:val="center"/>
          </w:tcPr>
          <w:p>
            <w:pPr>
              <w:jc w:val="left"/>
            </w:pPr>
            <w:r/>
            <w:r>
              <w:rPr>
                <w:b/>
                <w:color w:val="0F172A"/>
                <w:sz w:val="17"/>
              </w:rPr>
              <w:t>/api/v1/rainfall/presets</w:t>
            </w:r>
          </w:p>
        </w:tc>
        <w:tc>
          <w:tcPr>
            <w:tcW w:type="dxa" w:w="3216"/>
            <w:vAlign w:val="center"/>
          </w:tcPr>
          <w:p>
            <w:pPr>
              <w:jc w:val="center"/>
            </w:pPr>
            <w:r/>
            <w:r>
              <w:rPr>
                <w:color w:val="0F172A"/>
                <w:sz w:val="17"/>
              </w:rPr>
              <w:t>GET</w:t>
            </w:r>
          </w:p>
        </w:tc>
        <w:tc>
          <w:tcPr>
            <w:tcW w:type="dxa" w:w="3216"/>
            <w:vAlign w:val="center"/>
          </w:tcPr>
          <w:p>
            <w:pPr>
              <w:jc w:val="center"/>
            </w:pPr>
            <w:r/>
            <w:r>
              <w:rPr>
                <w:color w:val="0F172A"/>
                <w:sz w:val="17"/>
              </w:rPr>
              <w:t>Returns 4 calibrated CHIRPS meteorological scenarios</w:t>
            </w:r>
          </w:p>
        </w:tc>
      </w:tr>
      <w:tr>
        <w:tc>
          <w:tcPr>
            <w:tcW w:type="dxa" w:w="3216"/>
            <w:vAlign w:val="center"/>
            <w:shd w:fill="F8FAFC" w:val="clear"/>
          </w:tcPr>
          <w:p>
            <w:pPr>
              <w:jc w:val="left"/>
            </w:pPr>
            <w:r/>
            <w:r>
              <w:rPr>
                <w:b/>
                <w:color w:val="0F172A"/>
                <w:sz w:val="17"/>
              </w:rPr>
              <w:t>/api/v1/rainfall/scenario</w:t>
            </w:r>
          </w:p>
        </w:tc>
        <w:tc>
          <w:tcPr>
            <w:tcW w:type="dxa" w:w="3216"/>
            <w:vAlign w:val="center"/>
            <w:shd w:fill="F8FAFC" w:val="clear"/>
          </w:tcPr>
          <w:p>
            <w:pPr>
              <w:jc w:val="center"/>
            </w:pPr>
            <w:r/>
            <w:r>
              <w:rPr>
                <w:color w:val="0F172A"/>
                <w:sz w:val="17"/>
              </w:rPr>
              <w:t>POST</w:t>
            </w:r>
          </w:p>
        </w:tc>
        <w:tc>
          <w:tcPr>
            <w:tcW w:type="dxa" w:w="3216"/>
            <w:vAlign w:val="center"/>
            <w:shd w:fill="F8FAFC" w:val="clear"/>
          </w:tcPr>
          <w:p>
            <w:pPr>
              <w:jc w:val="center"/>
            </w:pPr>
            <w:r/>
            <w:r>
              <w:rPr>
                <w:color w:val="0F172A"/>
                <w:sz w:val="17"/>
              </w:rPr>
              <w:t>Real-time inference on Model B with 10 dynamic features</w:t>
            </w:r>
          </w:p>
        </w:tc>
      </w:tr>
    </w:tbl>
    <w:p>
      <w:pPr>
        <w:pStyle w:val="Heading2"/>
      </w:pPr>
      <w:r>
        <w:rPr>
          <w:color w:val="0F172A"/>
        </w:rPr>
        <w:t>8.2 Cryptographic Governance Verification</w:t>
      </w:r>
    </w:p>
    <w:p>
      <w:pPr>
        <w:spacing w:after="120" w:line="300" w:lineRule="exact"/>
      </w:pPr>
      <w:r>
        <w:rPr>
          <w:b w:val="0"/>
          <w:i w:val="0"/>
          <w:color w:val="0F172A"/>
          <w:sz w:val="21"/>
        </w:rPr>
        <w:t>At server startup, the backend verifies the SHA-256 hashes of models/expC_random_forest.joblib and models/modelB_production_pipeline.joblib. If any byte has been tampered with or retrained, the server refuses to start.</w:t>
      </w:r>
    </w:p>
    <w:tbl>
      <w:tblPr>
        <w:tblW w:type="auto" w:w="0"/>
        <w:jc w:val="center"/>
        <w:tblLook w:firstColumn="1" w:firstRow="1" w:lastColumn="0" w:lastRow="0" w:noHBand="0" w:noVBand="1" w:val="04A0"/>
      </w:tblPr>
      <w:tblGrid>
        <w:gridCol w:w="9648"/>
      </w:tblGrid>
      <w:tr>
        <w:tc>
          <w:tcPr>
            <w:tcW w:type="dxa" w:w="9648"/>
            <w:shd w:fill="FEE2E2" w:val="clear"/>
          </w:tcPr>
          <w:p>
            <w:r>
              <w:rPr>
                <w:b/>
                <w:color w:val="991B1B"/>
                <w:sz w:val="19"/>
              </w:rPr>
              <w:t xml:space="preserve">❗  IMPORTANT: </w:t>
            </w:r>
            <w:r>
              <w:rPr>
                <w:color w:val="991B1B"/>
                <w:sz w:val="19"/>
              </w:rPr>
              <w:t>Model integrity is cryptographically verified at every server startup. Tampered or retrained models cause immediate startup failure.</w:t>
            </w:r>
          </w:p>
        </w:tc>
      </w:tr>
    </w:tbl>
    <w:p/>
    <w:p>
      <w:pPr>
        <w:pStyle w:val="Heading2"/>
      </w:pPr>
      <w:r>
        <w:rPr>
          <w:color w:val="0F172A"/>
        </w:rPr>
        <w:t>8.3 Automated Unit &amp; Regression Tests</w:t>
      </w:r>
    </w:p>
    <w:p>
      <w:pPr>
        <w:pStyle w:val="ListBullet"/>
        <w:spacing w:after="60"/>
      </w:pPr>
      <w:r>
        <w:rPr>
          <w:color w:val="0F172A"/>
          <w:sz w:val="20"/>
        </w:rPr>
        <w:t>Located in backend/tests/test_api.py and backend/tests/test_rainfall_service.py.</w:t>
      </w:r>
    </w:p>
    <w:tbl>
      <w:tblPr>
        <w:tblW w:type="auto" w:w="0"/>
        <w:jc w:val="center"/>
        <w:tblLook w:firstColumn="1" w:firstRow="1" w:lastColumn="0" w:lastRow="0" w:noHBand="0" w:noVBand="1" w:val="04A0"/>
      </w:tblPr>
      <w:tblGrid>
        <w:gridCol w:w="9648"/>
      </w:tblGrid>
      <w:tr>
        <w:tc>
          <w:tcPr>
            <w:tcW w:type="dxa" w:w="9648"/>
            <w:shd w:fill="DCFCE7" w:val="clear"/>
          </w:tcPr>
          <w:p>
            <w:r>
              <w:rPr>
                <w:b/>
                <w:color w:val="166534"/>
                <w:sz w:val="19"/>
              </w:rPr>
              <w:t xml:space="preserve">✅  SUCCESS: </w:t>
            </w:r>
            <w:r>
              <w:rPr>
                <w:color w:val="166534"/>
                <w:sz w:val="19"/>
              </w:rPr>
              <w:t>Test Results: 17 / 17 unit tests pass (100%) via pytest backend/tests.</w:t>
            </w:r>
          </w:p>
        </w:tc>
      </w:tr>
    </w:tbl>
    <w:p/>
    <w:p>
      <w:r>
        <w:br w:type="page"/>
      </w:r>
    </w:p>
    <w:p>
      <w:pPr>
        <w:pStyle w:val="Heading1"/>
      </w:pPr>
      <w:r>
        <w:rPr>
          <w:color w:val="0F172A"/>
        </w:rPr>
        <w:t>9. Phase 4: Frontend Web GIS &amp; Packaging (Sections 36–38)</w:t>
      </w:r>
    </w:p>
    <w:p>
      <w:pPr>
        <w:pStyle w:val="ListBullet"/>
        <w:spacing w:after="60"/>
      </w:pPr>
      <w:r>
        <w:rPr>
          <w:b/>
          <w:color w:val="0F172A"/>
          <w:sz w:val="20"/>
        </w:rPr>
        <w:t xml:space="preserve">Framework: </w:t>
      </w:r>
      <w:r>
        <w:rPr>
          <w:color w:val="0F172A"/>
          <w:sz w:val="20"/>
        </w:rPr>
        <w:t>Next.js 15 App Router, React 19, TypeScript, Tailwind CSS.</w:t>
      </w:r>
    </w:p>
    <w:p>
      <w:pPr>
        <w:pStyle w:val="ListBullet"/>
        <w:spacing w:after="60"/>
      </w:pPr>
      <w:r>
        <w:rPr>
          <w:b/>
          <w:color w:val="0F172A"/>
          <w:sz w:val="20"/>
        </w:rPr>
        <w:t xml:space="preserve">Cartographic Engine: </w:t>
      </w:r>
      <w:r>
        <w:rPr>
          <w:color w:val="0F172A"/>
          <w:sz w:val="20"/>
        </w:rPr>
        <w:t>Leaflet Canvas rendering 3,156 coordinate markers with interactive clicking, popup inspection, and instant filtering.</w:t>
      </w:r>
    </w:p>
    <w:p>
      <w:pPr>
        <w:pStyle w:val="ListBullet"/>
        <w:spacing w:after="60"/>
      </w:pPr>
      <w:r>
        <w:rPr>
          <w:b/>
          <w:color w:val="0F172A"/>
          <w:sz w:val="20"/>
        </w:rPr>
        <w:t xml:space="preserve">Packaging: </w:t>
      </w:r>
      <w:r>
        <w:rPr>
          <w:color w:val="0F172A"/>
          <w:sz w:val="20"/>
        </w:rPr>
        <w:t>Multi-stage Docker containerization (docker-compose.yml, backend/Dockerfile, frontend/Dockerfile) enabling one-command local deployment.</w:t>
      </w:r>
    </w:p>
    <w:tbl>
      <w:tblPr>
        <w:tblW w:type="auto" w:w="0"/>
        <w:jc w:val="center"/>
        <w:tblLook w:firstColumn="1" w:firstRow="1" w:lastColumn="0" w:lastRow="0" w:noHBand="0" w:noVBand="1" w:val="04A0"/>
      </w:tblPr>
      <w:tblGrid>
        <w:gridCol w:w="9648"/>
      </w:tblGrid>
      <w:tr>
        <w:tc>
          <w:tcPr>
            <w:tcW w:type="dxa" w:w="9648"/>
            <w:shd w:fill="F1F5F9" w:val="clear"/>
          </w:tcPr>
          <w:p>
            <w:r>
              <w:rPr>
                <w:rFonts w:ascii="Consolas" w:hAnsi="Consolas"/>
                <w:b/>
                <w:color w:val="64748B"/>
                <w:sz w:val="16"/>
              </w:rPr>
              <w:t xml:space="preserve">  [bash]</w:t>
              <w:br/>
            </w:r>
            <w:r>
              <w:rPr>
                <w:rFonts w:ascii="Consolas" w:hAnsi="Consolas"/>
                <w:color w:val="0F172A"/>
                <w:sz w:val="16"/>
              </w:rPr>
              <w:t>docker compose up --build</w:t>
            </w:r>
          </w:p>
        </w:tc>
      </w:tr>
    </w:tbl>
    <w:p/>
    <w:p>
      <w:r>
        <w:br w:type="page"/>
      </w:r>
    </w:p>
    <w:p>
      <w:pPr>
        <w:pStyle w:val="Heading1"/>
      </w:pPr>
      <w:r>
        <w:rPr>
          <w:color w:val="0F172A"/>
        </w:rPr>
        <w:t>10. The GEOALERT Transformation &amp; Full ML Dynamic Grounding</w:t>
      </w:r>
    </w:p>
    <w:p>
      <w:pPr>
        <w:spacing w:after="120" w:line="300" w:lineRule="exact"/>
      </w:pPr>
      <w:r>
        <w:rPr>
          <w:b w:val="0"/>
          <w:i w:val="0"/>
          <w:color w:val="0F172A"/>
          <w:sz w:val="21"/>
        </w:rPr>
        <w:t>During the final production polish, the platform underwent a complete evolution into GEOALERT:</w:t>
      </w:r>
    </w:p>
    <w:p>
      <w:pPr>
        <w:pStyle w:val="Heading2"/>
      </w:pPr>
      <w:r>
        <w:rPr>
          <w:color w:val="0F172A"/>
        </w:rPr>
        <w:t>10.1 Light Glassmorphic Command Center Design</w:t>
      </w:r>
    </w:p>
    <w:p>
      <w:pPr>
        <w:pStyle w:val="ListBullet"/>
        <w:spacing w:after="60"/>
      </w:pPr>
      <w:r>
        <w:rPr>
          <w:b/>
          <w:color w:val="0F172A"/>
          <w:sz w:val="20"/>
        </w:rPr>
        <w:t xml:space="preserve">Aesthetic: </w:t>
      </w:r>
      <w:r>
        <w:rPr>
          <w:color w:val="0F172A"/>
          <w:sz w:val="20"/>
        </w:rPr>
        <w:t>Shifted from dark UI to a light mode command center.</w:t>
      </w:r>
    </w:p>
    <w:p>
      <w:pPr>
        <w:pStyle w:val="ListBullet"/>
        <w:spacing w:after="60"/>
      </w:pPr>
      <w:r>
        <w:rPr>
          <w:b/>
          <w:color w:val="0F172A"/>
          <w:sz w:val="20"/>
        </w:rPr>
        <w:t xml:space="preserve">Glassmorphism: </w:t>
      </w:r>
      <w:r>
        <w:rPr>
          <w:color w:val="0F172A"/>
          <w:sz w:val="20"/>
        </w:rPr>
        <w:t>Translucent frosted white cards (bg-white/80 backdrop-blur-md border border-slate-200/90 shadow-sm), dark navy typography (#0f172a), muted slate secondary text (#64748b), and floating pill controls.</w:t>
      </w:r>
    </w:p>
    <w:p>
      <w:pPr>
        <w:pStyle w:val="ListBullet"/>
        <w:spacing w:after="60"/>
      </w:pPr>
      <w:r>
        <w:rPr>
          <w:b/>
          <w:color w:val="0F172A"/>
          <w:sz w:val="20"/>
        </w:rPr>
        <w:t xml:space="preserve">Custom Brand Vector: </w:t>
      </w:r>
      <w:r>
        <w:rPr>
          <w:color w:val="0F172A"/>
          <w:sz w:val="20"/>
        </w:rPr>
        <w:t>Designed custom SVG topographic contour and alert beacon icon in frontend/public/favicon.svg, frontend/public/favicon.ico, and frontend/components/common/Logo.tsx.</w:t>
      </w:r>
    </w:p>
    <w:p>
      <w:pPr>
        <w:pStyle w:val="ListBullet"/>
        <w:spacing w:after="60"/>
      </w:pPr>
      <w:r>
        <w:rPr>
          <w:b/>
          <w:color w:val="0F172A"/>
          <w:sz w:val="20"/>
        </w:rPr>
        <w:t xml:space="preserve">Cartographic Basemap: </w:t>
      </w:r>
      <w:r>
        <w:rPr>
          <w:color w:val="0F172A"/>
          <w:sz w:val="20"/>
        </w:rPr>
        <w:t>Replaced generic basemaps with Esri World Light Gray Base, eliminating watermarks and ensuring high contrast for Green, Yellow, Orange, and Red markers.</w:t>
      </w:r>
    </w:p>
    <w:p>
      <w:pPr>
        <w:pStyle w:val="Heading2"/>
      </w:pPr>
      <w:r>
        <w:rPr>
          <w:color w:val="0F172A"/>
        </w:rPr>
        <w:t>10.2 Dynamic Floating GIS Layer Controls</w:t>
      </w:r>
    </w:p>
    <w:p>
      <w:pPr>
        <w:spacing w:after="120" w:line="300" w:lineRule="exact"/>
      </w:pPr>
      <w:r>
        <w:rPr>
          <w:b w:val="0"/>
          <w:i w:val="0"/>
          <w:color w:val="0F172A"/>
          <w:sz w:val="21"/>
        </w:rPr>
        <w:t>Added a 3-way floating pill layer switcher:</w:t>
      </w:r>
    </w:p>
    <w:p>
      <w:pPr>
        <w:pStyle w:val="ListNumber"/>
        <w:spacing w:after="60"/>
      </w:pPr>
      <w:r>
        <w:rPr>
          <w:b/>
          <w:sz w:val="20"/>
        </w:rPr>
        <w:t xml:space="preserve">Coupled Risk P(S)×P(D): </w:t>
      </w:r>
      <w:r>
        <w:rPr>
          <w:sz w:val="20"/>
        </w:rPr>
        <w:t>Default view. Marker color and size reflect final coupled hazard.</w:t>
      </w:r>
    </w:p>
    <w:p>
      <w:pPr>
        <w:pStyle w:val="ListNumber"/>
        <w:spacing w:after="60"/>
      </w:pPr>
      <w:r>
        <w:rPr>
          <w:b/>
          <w:sz w:val="20"/>
        </w:rPr>
        <w:t xml:space="preserve">Terrain P(S): </w:t>
      </w:r>
      <w:r>
        <w:rPr>
          <w:sz w:val="20"/>
        </w:rPr>
        <w:t>Isolate Model A static geomorphic susceptibility alone.</w:t>
      </w:r>
    </w:p>
    <w:p>
      <w:pPr>
        <w:pStyle w:val="ListNumber"/>
        <w:spacing w:after="60"/>
      </w:pPr>
      <w:r>
        <w:rPr>
          <w:b/>
          <w:sz w:val="20"/>
        </w:rPr>
        <w:t xml:space="preserve">Rainfall P(D): </w:t>
      </w:r>
      <w:r>
        <w:rPr>
          <w:sz w:val="20"/>
        </w:rPr>
        <w:t>Isolate Model B dynamic trigger hazard alone.</w:t>
      </w:r>
    </w:p>
    <w:p>
      <w:pPr>
        <w:spacing w:after="120" w:line="300" w:lineRule="exact"/>
      </w:pPr>
      <w:r>
        <w:rPr>
          <w:b w:val="0"/>
          <w:i w:val="0"/>
          <w:color w:val="0F172A"/>
          <w:sz w:val="21"/>
        </w:rPr>
        <w:t>Includes a floating glass legend that dynamically changes definitions based on the active layer.</w:t>
      </w:r>
    </w:p>
    <w:p>
      <w:pPr>
        <w:pStyle w:val="Heading2"/>
      </w:pPr>
      <w:r>
        <w:rPr>
          <w:color w:val="0F172A"/>
        </w:rPr>
        <w:t>10.3 Location Intelligence Inspector with Explainability</w:t>
      </w:r>
    </w:p>
    <w:p>
      <w:pPr>
        <w:spacing w:after="120" w:line="300" w:lineRule="exact"/>
      </w:pPr>
      <w:r>
        <w:rPr>
          <w:b w:val="0"/>
          <w:i w:val="0"/>
          <w:color w:val="0F172A"/>
          <w:sz w:val="21"/>
        </w:rPr>
        <w:t>Clicking any cell opens the side inspector panel featuring the "Why is this location at risk?" explainability card:</w:t>
      </w:r>
    </w:p>
    <w:p>
      <w:pPr>
        <w:pStyle w:val="ListBullet"/>
        <w:spacing w:after="60"/>
      </w:pPr>
      <w:r>
        <w:rPr>
          <w:b/>
          <w:color w:val="0F172A"/>
          <w:sz w:val="20"/>
        </w:rPr>
        <w:t xml:space="preserve">Terrain Factor: </w:t>
      </w:r>
      <w:r>
        <w:rPr>
          <w:color w:val="0F172A"/>
          <w:sz w:val="20"/>
        </w:rPr>
        <w:t>Attribution to slope angle, elevation, and rock cut proximity.</w:t>
      </w:r>
    </w:p>
    <w:p>
      <w:pPr>
        <w:pStyle w:val="ListBullet"/>
        <w:spacing w:after="60"/>
      </w:pPr>
      <w:r>
        <w:rPr>
          <w:b/>
          <w:color w:val="0F172A"/>
          <w:sz w:val="20"/>
        </w:rPr>
        <w:t xml:space="preserve">Coupling Synergy: </w:t>
      </w:r>
      <w:r>
        <w:rPr>
          <w:color w:val="0F172A"/>
          <w:sz w:val="20"/>
        </w:rPr>
        <w:t>Explains how terrain and rain interact (e.g., "Rainfall trigger is high, but static terrain susceptibility is low, suppressing the combined risk" vs "High terrain susceptibility coincides with elevated rainfall trigger, multiplying the combined landslide risk").</w:t>
      </w:r>
    </w:p>
    <w:p>
      <w:pPr>
        <w:pStyle w:val="ListBullet"/>
        <w:spacing w:after="60"/>
      </w:pPr>
      <w:r>
        <w:rPr>
          <w:b/>
          <w:color w:val="0F172A"/>
          <w:sz w:val="20"/>
        </w:rPr>
        <w:t xml:space="preserve">Actionable Protocol: </w:t>
      </w:r>
      <w:r>
        <w:rPr>
          <w:color w:val="0F172A"/>
          <w:sz w:val="20"/>
        </w:rPr>
        <w:t>Emergency slope closure or routine monitoring advisories.</w:t>
      </w:r>
    </w:p>
    <w:p>
      <w:pPr>
        <w:pStyle w:val="Heading2"/>
      </w:pPr>
      <w:r>
        <w:rPr>
          <w:color w:val="0F172A"/>
        </w:rPr>
        <w:t>10.4 Complete ML Dynamic Grounding (Elimination of Mock Values)</w:t>
      </w:r>
    </w:p>
    <w:p>
      <w:pPr>
        <w:spacing w:after="120" w:line="300" w:lineRule="exact"/>
      </w:pPr>
      <w:r>
        <w:rPr>
          <w:b w:val="0"/>
          <w:i w:val="0"/>
          <w:color w:val="0F172A"/>
          <w:sz w:val="21"/>
        </w:rPr>
        <w:t>Every element across the website was grounded directly in the ML models:</w:t>
      </w:r>
    </w:p>
    <w:p>
      <w:pPr>
        <w:pStyle w:val="ListNumber"/>
        <w:spacing w:after="60"/>
      </w:pPr>
      <w:r>
        <w:rPr>
          <w:b/>
          <w:sz w:val="20"/>
        </w:rPr>
        <w:t xml:space="preserve">Dynamic KPI Metrics Cards: </w:t>
      </w:r>
      <w:r>
        <w:rPr>
          <w:sz w:val="20"/>
        </w:rPr>
        <w:t>Replaced static counts with a live calculation. Dry Season (P(D)=0.0189): 3,156 Green (100%). Active Monsoon Surge (P(D)=0.6284): 2,899 Green, 137 Yellow, 110 Orange, 10 Red. Extreme Cloudburst (P(D)=0.7477): Dynamically escalates high-slope cells across Meghalaya.</w:t>
      </w:r>
    </w:p>
    <w:p>
      <w:pPr>
        <w:pStyle w:val="ListNumber"/>
        <w:spacing w:after="60"/>
      </w:pPr>
      <w:r>
        <w:rPr>
          <w:b/>
          <w:sz w:val="20"/>
        </w:rPr>
        <w:t xml:space="preserve">Interactive Infrastructure Lifelines: </w:t>
      </w:r>
      <w:r>
        <w:rPr>
          <w:sz w:val="20"/>
        </w:rPr>
        <w:t>Added interactive scenario selection on /infrastructure that computes corridor risk dynamically via Model A × Model B.</w:t>
      </w:r>
    </w:p>
    <w:p>
      <w:pPr>
        <w:pStyle w:val="ListNumber"/>
        <w:spacing w:after="60"/>
      </w:pPr>
      <w:r>
        <w:rPr>
          <w:b/>
          <w:sz w:val="20"/>
        </w:rPr>
        <w:t xml:space="preserve">Map Canvas &amp; Popups: </w:t>
      </w:r>
      <w:r>
        <w:rPr>
          <w:sz w:val="20"/>
        </w:rPr>
        <w:t>Marker radii, colors, and popup metrics dynamically recompute from Model B's live P(D) output.</w:t>
      </w:r>
    </w:p>
    <w:p>
      <w:r>
        <w:br w:type="page"/>
      </w:r>
    </w:p>
    <w:p>
      <w:pPr>
        <w:pStyle w:val="Heading1"/>
      </w:pPr>
      <w:r>
        <w:rPr>
          <w:color w:val="0F172A"/>
        </w:rPr>
        <w:t>11. Cloud DevOps, Deployment &amp; GitHub Release</w:t>
      </w:r>
    </w:p>
    <w:p>
      <w:pPr>
        <w:pStyle w:val="Heading2"/>
      </w:pPr>
      <w:r>
        <w:rPr>
          <w:color w:val="0F172A"/>
        </w:rPr>
        <w:t>11.1 GitHub Publishing</w:t>
      </w:r>
    </w:p>
    <w:p>
      <w:pPr>
        <w:pStyle w:val="ListBullet"/>
        <w:spacing w:after="60"/>
      </w:pPr>
      <w:r>
        <w:rPr>
          <w:b/>
          <w:color w:val="0F172A"/>
          <w:sz w:val="20"/>
        </w:rPr>
        <w:t xml:space="preserve">Repository: </w:t>
      </w:r>
      <w:r>
        <w:rPr>
          <w:color w:val="0F172A"/>
          <w:sz w:val="20"/>
        </w:rPr>
        <w:t>github.com/aruchith08/GEOALERT-SIH-2026</w:t>
      </w:r>
    </w:p>
    <w:p>
      <w:pPr>
        <w:pStyle w:val="ListBullet"/>
        <w:spacing w:after="60"/>
      </w:pPr>
      <w:r>
        <w:rPr>
          <w:b/>
          <w:color w:val="0F172A"/>
          <w:sz w:val="20"/>
        </w:rPr>
        <w:t xml:space="preserve">Topics: </w:t>
      </w:r>
      <w:r>
        <w:rPr>
          <w:color w:val="0F172A"/>
          <w:sz w:val="20"/>
        </w:rPr>
        <w:t>machine-learning, fastapi, nextjs, gis, geospatial, disaster-management.</w:t>
      </w:r>
    </w:p>
    <w:p>
      <w:pPr>
        <w:pStyle w:val="ListBullet"/>
        <w:spacing w:after="60"/>
      </w:pPr>
      <w:r>
        <w:rPr>
          <w:color w:val="0F172A"/>
          <w:sz w:val="20"/>
        </w:rPr>
        <w:t>Complete source code, models, spatial datasets, reports, and scripts tracked on branch main.</w:t>
      </w:r>
    </w:p>
    <w:p>
      <w:pPr>
        <w:pStyle w:val="Heading2"/>
      </w:pPr>
      <w:r>
        <w:rPr>
          <w:color w:val="0F172A"/>
        </w:rPr>
        <w:t>11.2 Multi-Cloud Deployment Architecture</w:t>
      </w:r>
    </w:p>
    <w:p>
      <w:pPr>
        <w:spacing w:after="120" w:line="300" w:lineRule="exact"/>
      </w:pPr>
      <w:r>
        <w:rPr>
          <w:b w:val="0"/>
          <w:i w:val="0"/>
          <w:color w:val="0F172A"/>
          <w:sz w:val="21"/>
        </w:rPr>
        <w:t>Configured for zero-config one-click cloud deployment:</w:t>
      </w:r>
    </w:p>
    <w:p>
      <w:pPr>
        <w:pStyle w:val="Heading3"/>
      </w:pPr>
      <w:r>
        <w:rPr>
          <w:color w:val="0F172A"/>
        </w:rPr>
        <w:t>Frontend on Vercel</w:t>
      </w:r>
    </w:p>
    <w:p>
      <w:pPr>
        <w:pStyle w:val="ListBullet"/>
        <w:spacing w:after="60"/>
      </w:pPr>
      <w:r>
        <w:rPr>
          <w:color w:val="0F172A"/>
          <w:sz w:val="20"/>
        </w:rPr>
        <w:t>Added root vercel.json and frontend/vercel.json.</w:t>
      </w:r>
    </w:p>
    <w:p>
      <w:pPr>
        <w:pStyle w:val="ListBullet"/>
        <w:spacing w:after="60"/>
      </w:pPr>
      <w:r>
        <w:rPr>
          <w:color w:val="0F172A"/>
          <w:sz w:val="20"/>
        </w:rPr>
        <w:t>Environment variable: NEXT_PUBLIC_API_BASE_URL (points to live backend API).</w:t>
      </w:r>
    </w:p>
    <w:p>
      <w:pPr>
        <w:pStyle w:val="Heading3"/>
      </w:pPr>
      <w:r>
        <w:rPr>
          <w:color w:val="0F172A"/>
        </w:rPr>
        <w:t>Backend on Render (One-Click Blueprint)</w:t>
      </w:r>
    </w:p>
    <w:p>
      <w:pPr>
        <w:pStyle w:val="ListBullet"/>
        <w:spacing w:after="60"/>
      </w:pPr>
      <w:r>
        <w:rPr>
          <w:color w:val="0F172A"/>
          <w:sz w:val="20"/>
        </w:rPr>
        <w:t>Created render.yaml defining a Python 3.12 web service.</w:t>
      </w:r>
    </w:p>
    <w:p>
      <w:pPr>
        <w:pStyle w:val="ListBullet"/>
        <w:spacing w:after="60"/>
      </w:pPr>
      <w:r>
        <w:rPr>
          <w:color w:val="0F172A"/>
          <w:sz w:val="20"/>
        </w:rPr>
        <w:t>Start command: uvicorn backend.app.main:app --host 0.0.0.0 --port $PORT.</w:t>
      </w:r>
    </w:p>
    <w:p>
      <w:pPr>
        <w:pStyle w:val="ListBullet"/>
        <w:spacing w:after="60"/>
      </w:pPr>
      <w:r>
        <w:rPr>
          <w:color w:val="0F172A"/>
          <w:sz w:val="20"/>
        </w:rPr>
        <w:t>Health check path: /api/v1/health.</w:t>
      </w:r>
    </w:p>
    <w:p>
      <w:pPr>
        <w:pStyle w:val="Heading3"/>
      </w:pPr>
      <w:r>
        <w:rPr>
          <w:color w:val="0F172A"/>
        </w:rPr>
        <w:t>Backend on Railway / Heroku</w:t>
      </w:r>
    </w:p>
    <w:p>
      <w:pPr>
        <w:pStyle w:val="ListBullet"/>
        <w:spacing w:after="60"/>
      </w:pPr>
      <w:r>
        <w:rPr>
          <w:color w:val="0F172A"/>
          <w:sz w:val="20"/>
        </w:rPr>
        <w:t>Created railway.json, Procfile, and nixpacks.toml.</w:t>
      </w:r>
    </w:p>
    <w:p>
      <w:pPr>
        <w:pStyle w:val="Heading3"/>
      </w:pPr>
      <w:r>
        <w:rPr>
          <w:color w:val="0F172A"/>
        </w:rPr>
        <w:t>Universal Cloud CORS Middleware</w:t>
      </w:r>
    </w:p>
    <w:p>
      <w:pPr>
        <w:pStyle w:val="ListBullet"/>
        <w:spacing w:after="60"/>
      </w:pPr>
      <w:r>
        <w:rPr>
          <w:color w:val="0F172A"/>
          <w:sz w:val="20"/>
        </w:rPr>
        <w:t>Configured allow_origin_regex = r"https?://.*" in backend/app/main.py.</w:t>
      </w:r>
    </w:p>
    <w:p>
      <w:pPr>
        <w:pStyle w:val="ListBullet"/>
        <w:spacing w:after="60"/>
      </w:pPr>
      <w:r>
        <w:rPr>
          <w:color w:val="0F172A"/>
          <w:sz w:val="20"/>
        </w:rPr>
        <w:t>Automatically accepts all Vercel, Render, Railway domains and localhost.</w:t>
      </w:r>
    </w:p>
    <w:p>
      <w:pPr>
        <w:pStyle w:val="Heading3"/>
      </w:pPr>
      <w:r>
        <w:rPr>
          <w:color w:val="0F172A"/>
        </w:rPr>
        <w:t>Critical Bug Resolution</w:t>
      </w:r>
    </w:p>
    <w:tbl>
      <w:tblPr>
        <w:tblW w:type="auto" w:w="0"/>
        <w:jc w:val="center"/>
        <w:tblLook w:firstColumn="1" w:firstRow="1" w:lastColumn="0" w:lastRow="0" w:noHBand="0" w:noVBand="1" w:val="04A0"/>
      </w:tblPr>
      <w:tblGrid>
        <w:gridCol w:w="9648"/>
      </w:tblGrid>
      <w:tr>
        <w:tc>
          <w:tcPr>
            <w:tcW w:type="dxa" w:w="9648"/>
            <w:shd w:fill="FEF3C7" w:val="clear"/>
          </w:tcPr>
          <w:p>
            <w:r>
              <w:rPr>
                <w:b/>
                <w:color w:val="92400E"/>
                <w:sz w:val="19"/>
              </w:rPr>
              <w:t xml:space="preserve">⚠️  WARNING: </w:t>
            </w:r>
            <w:r>
              <w:rPr>
                <w:color w:val="92400E"/>
                <w:sz w:val="19"/>
              </w:rPr>
              <w:t>Discovered and fixed an issue where a generic lib/ pattern in .gitignore omitted frontend/lib/ (api.ts, constants.ts, types.ts), causing cloud builds to fail with "Module not found: Can't resolve '@/lib/api'". Added !frontend/lib/ to .gitignore, tracked all library files, and pushed fix to GitHub (Commit: fc2ef49).</w:t>
            </w:r>
          </w:p>
        </w:tc>
      </w:tr>
    </w:tbl>
    <w:p/>
    <w:p/>
    <w:p>
      <w:pPr>
        <w:jc w:val="center"/>
      </w:pPr>
      <w:r>
        <w:drawing>
          <wp:inline xmlns:a="http://schemas.openxmlformats.org/drawingml/2006/main" xmlns:pic="http://schemas.openxmlformats.org/drawingml/2006/picture">
            <wp:extent cx="5486400" cy="3145120"/>
            <wp:docPr id="7" name="Picture 7"/>
            <wp:cNvGraphicFramePr>
              <a:graphicFrameLocks noChangeAspect="1"/>
            </wp:cNvGraphicFramePr>
            <a:graphic>
              <a:graphicData uri="http://schemas.openxmlformats.org/drawingml/2006/picture">
                <pic:pic>
                  <pic:nvPicPr>
                    <pic:cNvPr id="0" name="deployment_architecture.png"/>
                    <pic:cNvPicPr/>
                  </pic:nvPicPr>
                  <pic:blipFill>
                    <a:blip r:embed="rId15"/>
                    <a:stretch>
                      <a:fillRect/>
                    </a:stretch>
                  </pic:blipFill>
                  <pic:spPr>
                    <a:xfrm>
                      <a:off x="0" y="0"/>
                      <a:ext cx="5486400" cy="3145120"/>
                    </a:xfrm>
                    <a:prstGeom prst="rect"/>
                  </pic:spPr>
                </pic:pic>
              </a:graphicData>
            </a:graphic>
          </wp:inline>
        </w:drawing>
      </w:r>
    </w:p>
    <w:p>
      <w:pPr>
        <w:jc w:val="center"/>
      </w:pPr>
      <w:r>
        <w:rPr>
          <w:i/>
          <w:color w:val="64748B"/>
          <w:sz w:val="18"/>
        </w:rPr>
        <w:t>Figure 7: Multi-Cloud Deployment Architecture</w:t>
      </w:r>
    </w:p>
    <w:p>
      <w:r>
        <w:br w:type="page"/>
      </w:r>
    </w:p>
    <w:p>
      <w:pPr>
        <w:pStyle w:val="Heading1"/>
      </w:pPr>
      <w:r>
        <w:rPr>
          <w:color w:val="0F172A"/>
        </w:rPr>
        <w:t>12. Verification &amp; Integrity Audit Matrix</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shd w:fill="1E293B" w:val="clear"/>
          </w:tcPr>
          <w:p>
            <w:pPr>
              <w:jc w:val="center"/>
            </w:pPr>
            <w:r/>
            <w:r>
              <w:rPr>
                <w:b/>
                <w:color w:val="FFFFFF"/>
                <w:sz w:val="18"/>
              </w:rPr>
              <w:t>Component / Subsystem</w:t>
            </w:r>
          </w:p>
        </w:tc>
        <w:tc>
          <w:tcPr>
            <w:tcW w:type="dxa" w:w="2412"/>
            <w:vAlign w:val="center"/>
            <w:shd w:fill="1E293B" w:val="clear"/>
          </w:tcPr>
          <w:p>
            <w:pPr>
              <w:jc w:val="center"/>
            </w:pPr>
            <w:r/>
            <w:r>
              <w:rPr>
                <w:b/>
                <w:color w:val="FFFFFF"/>
                <w:sz w:val="18"/>
              </w:rPr>
              <w:t>Verification Method</w:t>
            </w:r>
          </w:p>
        </w:tc>
        <w:tc>
          <w:tcPr>
            <w:tcW w:type="dxa" w:w="2412"/>
            <w:vAlign w:val="center"/>
            <w:shd w:fill="1E293B" w:val="clear"/>
          </w:tcPr>
          <w:p>
            <w:pPr>
              <w:jc w:val="center"/>
            </w:pPr>
            <w:r/>
            <w:r>
              <w:rPr>
                <w:b/>
                <w:color w:val="FFFFFF"/>
                <w:sz w:val="18"/>
              </w:rPr>
              <w:t>Status</w:t>
            </w:r>
          </w:p>
        </w:tc>
        <w:tc>
          <w:tcPr>
            <w:tcW w:type="dxa" w:w="2412"/>
            <w:vAlign w:val="center"/>
            <w:shd w:fill="1E293B" w:val="clear"/>
          </w:tcPr>
          <w:p>
            <w:pPr>
              <w:jc w:val="center"/>
            </w:pPr>
            <w:r/>
            <w:r>
              <w:rPr>
                <w:b/>
                <w:color w:val="FFFFFF"/>
                <w:sz w:val="18"/>
              </w:rPr>
              <w:t>Result / Metric</w:t>
            </w:r>
          </w:p>
        </w:tc>
      </w:tr>
      <w:tr>
        <w:tc>
          <w:tcPr>
            <w:tcW w:type="dxa" w:w="2412"/>
            <w:vAlign w:val="center"/>
          </w:tcPr>
          <w:p>
            <w:pPr>
              <w:jc w:val="left"/>
            </w:pPr>
            <w:r/>
            <w:r>
              <w:rPr>
                <w:b/>
                <w:color w:val="0F172A"/>
                <w:sz w:val="17"/>
              </w:rPr>
              <w:t>Model A Integrity</w:t>
            </w:r>
          </w:p>
        </w:tc>
        <w:tc>
          <w:tcPr>
            <w:tcW w:type="dxa" w:w="2412"/>
            <w:vAlign w:val="center"/>
          </w:tcPr>
          <w:p>
            <w:pPr>
              <w:jc w:val="center"/>
            </w:pPr>
            <w:r/>
            <w:r>
              <w:rPr>
                <w:color w:val="0F172A"/>
                <w:sz w:val="17"/>
              </w:rPr>
              <w:t>Cryptographic SHA-256 Hash</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1691cd678c2a...5631</w:t>
            </w:r>
          </w:p>
        </w:tc>
      </w:tr>
      <w:tr>
        <w:tc>
          <w:tcPr>
            <w:tcW w:type="dxa" w:w="2412"/>
            <w:vAlign w:val="center"/>
            <w:shd w:fill="F8FAFC" w:val="clear"/>
          </w:tcPr>
          <w:p>
            <w:pPr>
              <w:jc w:val="left"/>
            </w:pPr>
            <w:r/>
            <w:r>
              <w:rPr>
                <w:b/>
                <w:color w:val="0F172A"/>
                <w:sz w:val="17"/>
              </w:rPr>
              <w:t>Model B Integrity</w:t>
            </w:r>
          </w:p>
        </w:tc>
        <w:tc>
          <w:tcPr>
            <w:tcW w:type="dxa" w:w="2412"/>
            <w:vAlign w:val="center"/>
            <w:shd w:fill="F8FAFC" w:val="clear"/>
          </w:tcPr>
          <w:p>
            <w:pPr>
              <w:jc w:val="center"/>
            </w:pPr>
            <w:r/>
            <w:r>
              <w:rPr>
                <w:color w:val="0F172A"/>
                <w:sz w:val="17"/>
              </w:rPr>
              <w:t>Cryptographic SHA-256 Hash</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e30aacc2f83e...18f2</w:t>
            </w:r>
          </w:p>
        </w:tc>
      </w:tr>
      <w:tr>
        <w:tc>
          <w:tcPr>
            <w:tcW w:type="dxa" w:w="2412"/>
            <w:vAlign w:val="center"/>
          </w:tcPr>
          <w:p>
            <w:pPr>
              <w:jc w:val="left"/>
            </w:pPr>
            <w:r/>
            <w:r>
              <w:rPr>
                <w:b/>
                <w:color w:val="0F172A"/>
                <w:sz w:val="17"/>
              </w:rPr>
              <w:t>Section 34 GeoJSON</w:t>
            </w:r>
          </w:p>
        </w:tc>
        <w:tc>
          <w:tcPr>
            <w:tcW w:type="dxa" w:w="2412"/>
            <w:vAlign w:val="center"/>
          </w:tcPr>
          <w:p>
            <w:pPr>
              <w:jc w:val="center"/>
            </w:pPr>
            <w:r/>
            <w:r>
              <w:rPr>
                <w:color w:val="0F172A"/>
                <w:sz w:val="17"/>
              </w:rPr>
              <w:t>JSON Schema &amp; Cell Count Audit</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3,156 WGS84 Cells (0 NaNs)</w:t>
            </w:r>
          </w:p>
        </w:tc>
      </w:tr>
      <w:tr>
        <w:tc>
          <w:tcPr>
            <w:tcW w:type="dxa" w:w="2412"/>
            <w:vAlign w:val="center"/>
            <w:shd w:fill="F8FAFC" w:val="clear"/>
          </w:tcPr>
          <w:p>
            <w:pPr>
              <w:jc w:val="left"/>
            </w:pPr>
            <w:r/>
            <w:r>
              <w:rPr>
                <w:b/>
                <w:color w:val="0F172A"/>
                <w:sz w:val="17"/>
              </w:rPr>
              <w:t>Coupling Threshold</w:t>
            </w:r>
          </w:p>
        </w:tc>
        <w:tc>
          <w:tcPr>
            <w:tcW w:type="dxa" w:w="2412"/>
            <w:vAlign w:val="center"/>
            <w:shd w:fill="F8FAFC" w:val="clear"/>
          </w:tcPr>
          <w:p>
            <w:pPr>
              <w:jc w:val="center"/>
            </w:pPr>
            <w:r/>
            <w:r>
              <w:rPr>
                <w:color w:val="0F172A"/>
                <w:sz w:val="17"/>
              </w:rPr>
              <w:t>Mathematical Boundary Audit</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T_coup = 0.0502, P(S)_floor = 0.15</w:t>
            </w:r>
          </w:p>
        </w:tc>
      </w:tr>
      <w:tr>
        <w:tc>
          <w:tcPr>
            <w:tcW w:type="dxa" w:w="2412"/>
            <w:vAlign w:val="center"/>
          </w:tcPr>
          <w:p>
            <w:pPr>
              <w:jc w:val="left"/>
            </w:pPr>
            <w:r/>
            <w:r>
              <w:rPr>
                <w:b/>
                <w:color w:val="0F172A"/>
                <w:sz w:val="17"/>
              </w:rPr>
              <w:t>Backend API Tests</w:t>
            </w:r>
          </w:p>
        </w:tc>
        <w:tc>
          <w:tcPr>
            <w:tcW w:type="dxa" w:w="2412"/>
            <w:vAlign w:val="center"/>
          </w:tcPr>
          <w:p>
            <w:pPr>
              <w:jc w:val="center"/>
            </w:pPr>
            <w:r/>
            <w:r>
              <w:rPr>
                <w:color w:val="0F172A"/>
                <w:sz w:val="17"/>
              </w:rPr>
              <w:t>Pytest Regression Suite</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17 / 17 passed (100%)</w:t>
            </w:r>
          </w:p>
        </w:tc>
      </w:tr>
      <w:tr>
        <w:tc>
          <w:tcPr>
            <w:tcW w:type="dxa" w:w="2412"/>
            <w:vAlign w:val="center"/>
            <w:shd w:fill="F8FAFC" w:val="clear"/>
          </w:tcPr>
          <w:p>
            <w:pPr>
              <w:jc w:val="left"/>
            </w:pPr>
            <w:r/>
            <w:r>
              <w:rPr>
                <w:b/>
                <w:color w:val="0F172A"/>
                <w:sz w:val="17"/>
              </w:rPr>
              <w:t>E2E Validation</w:t>
            </w:r>
          </w:p>
        </w:tc>
        <w:tc>
          <w:tcPr>
            <w:tcW w:type="dxa" w:w="2412"/>
            <w:vAlign w:val="center"/>
            <w:shd w:fill="F8FAFC" w:val="clear"/>
          </w:tcPr>
          <w:p>
            <w:pPr>
              <w:jc w:val="center"/>
            </w:pPr>
            <w:r/>
            <w:r>
              <w:rPr>
                <w:color w:val="0F172A"/>
                <w:sz w:val="17"/>
              </w:rPr>
              <w:t>execute_e2e_verification.py</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5 / 5 test suites passed (100%)</w:t>
            </w:r>
          </w:p>
        </w:tc>
      </w:tr>
      <w:tr>
        <w:tc>
          <w:tcPr>
            <w:tcW w:type="dxa" w:w="2412"/>
            <w:vAlign w:val="center"/>
          </w:tcPr>
          <w:p>
            <w:pPr>
              <w:jc w:val="left"/>
            </w:pPr>
            <w:r/>
            <w:r>
              <w:rPr>
                <w:b/>
                <w:color w:val="0F172A"/>
                <w:sz w:val="17"/>
              </w:rPr>
              <w:t>Frontend Build</w:t>
            </w:r>
          </w:p>
        </w:tc>
        <w:tc>
          <w:tcPr>
            <w:tcW w:type="dxa" w:w="2412"/>
            <w:vAlign w:val="center"/>
          </w:tcPr>
          <w:p>
            <w:pPr>
              <w:jc w:val="center"/>
            </w:pPr>
            <w:r/>
            <w:r>
              <w:rPr>
                <w:color w:val="0F172A"/>
                <w:sz w:val="17"/>
              </w:rPr>
              <w:t>Next.js 15 Standalone Build</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9 / 9 routes (0 errors)</w:t>
            </w:r>
          </w:p>
        </w:tc>
      </w:tr>
      <w:tr>
        <w:tc>
          <w:tcPr>
            <w:tcW w:type="dxa" w:w="2412"/>
            <w:vAlign w:val="center"/>
            <w:shd w:fill="F8FAFC" w:val="clear"/>
          </w:tcPr>
          <w:p>
            <w:pPr>
              <w:jc w:val="left"/>
            </w:pPr>
            <w:r/>
            <w:r>
              <w:rPr>
                <w:b/>
                <w:color w:val="0F172A"/>
                <w:sz w:val="17"/>
              </w:rPr>
              <w:t>Dashboard Route (/)</w:t>
            </w:r>
          </w:p>
        </w:tc>
        <w:tc>
          <w:tcPr>
            <w:tcW w:type="dxa" w:w="2412"/>
            <w:vAlign w:val="center"/>
            <w:shd w:fill="F8FAFC" w:val="clear"/>
          </w:tcPr>
          <w:p>
            <w:pPr>
              <w:jc w:val="center"/>
            </w:pPr>
            <w:r/>
            <w:r>
              <w:rPr>
                <w:color w:val="0F172A"/>
                <w:sz w:val="17"/>
              </w:rPr>
              <w:t>HTTP Status Probe</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HTTP 200 OK</w:t>
            </w:r>
          </w:p>
        </w:tc>
      </w:tr>
      <w:tr>
        <w:tc>
          <w:tcPr>
            <w:tcW w:type="dxa" w:w="2412"/>
            <w:vAlign w:val="center"/>
          </w:tcPr>
          <w:p>
            <w:pPr>
              <w:jc w:val="left"/>
            </w:pPr>
            <w:r/>
            <w:r>
              <w:rPr>
                <w:b/>
                <w:color w:val="0F172A"/>
                <w:sz w:val="17"/>
              </w:rPr>
              <w:t>Risk Map (/risk-map)</w:t>
            </w:r>
          </w:p>
        </w:tc>
        <w:tc>
          <w:tcPr>
            <w:tcW w:type="dxa" w:w="2412"/>
            <w:vAlign w:val="center"/>
          </w:tcPr>
          <w:p>
            <w:pPr>
              <w:jc w:val="center"/>
            </w:pPr>
            <w:r/>
            <w:r>
              <w:rPr>
                <w:color w:val="0F172A"/>
                <w:sz w:val="17"/>
              </w:rPr>
              <w:t>HTTP Status Probe</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HTTP 200 OK</w:t>
            </w:r>
          </w:p>
        </w:tc>
      </w:tr>
      <w:tr>
        <w:tc>
          <w:tcPr>
            <w:tcW w:type="dxa" w:w="2412"/>
            <w:vAlign w:val="center"/>
            <w:shd w:fill="F8FAFC" w:val="clear"/>
          </w:tcPr>
          <w:p>
            <w:pPr>
              <w:jc w:val="left"/>
            </w:pPr>
            <w:r/>
            <w:r>
              <w:rPr>
                <w:b/>
                <w:color w:val="0F172A"/>
                <w:sz w:val="17"/>
              </w:rPr>
              <w:t>Analytics (/analytics)</w:t>
            </w:r>
          </w:p>
        </w:tc>
        <w:tc>
          <w:tcPr>
            <w:tcW w:type="dxa" w:w="2412"/>
            <w:vAlign w:val="center"/>
            <w:shd w:fill="F8FAFC" w:val="clear"/>
          </w:tcPr>
          <w:p>
            <w:pPr>
              <w:jc w:val="center"/>
            </w:pPr>
            <w:r/>
            <w:r>
              <w:rPr>
                <w:color w:val="0F172A"/>
                <w:sz w:val="17"/>
              </w:rPr>
              <w:t>HTTP Status Probe</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HTTP 200 OK</w:t>
            </w:r>
          </w:p>
        </w:tc>
      </w:tr>
      <w:tr>
        <w:tc>
          <w:tcPr>
            <w:tcW w:type="dxa" w:w="2412"/>
            <w:vAlign w:val="center"/>
          </w:tcPr>
          <w:p>
            <w:pPr>
              <w:jc w:val="left"/>
            </w:pPr>
            <w:r/>
            <w:r>
              <w:rPr>
                <w:b/>
                <w:color w:val="0F172A"/>
                <w:sz w:val="17"/>
              </w:rPr>
              <w:t>Corridors (/infrastructure)</w:t>
            </w:r>
          </w:p>
        </w:tc>
        <w:tc>
          <w:tcPr>
            <w:tcW w:type="dxa" w:w="2412"/>
            <w:vAlign w:val="center"/>
          </w:tcPr>
          <w:p>
            <w:pPr>
              <w:jc w:val="center"/>
            </w:pPr>
            <w:r/>
            <w:r>
              <w:rPr>
                <w:color w:val="0F172A"/>
                <w:sz w:val="17"/>
              </w:rPr>
              <w:t>HTTP Status Probe</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HTTP 200 OK</w:t>
            </w:r>
          </w:p>
        </w:tc>
      </w:tr>
      <w:tr>
        <w:tc>
          <w:tcPr>
            <w:tcW w:type="dxa" w:w="2412"/>
            <w:vAlign w:val="center"/>
            <w:shd w:fill="F8FAFC" w:val="clear"/>
          </w:tcPr>
          <w:p>
            <w:pPr>
              <w:jc w:val="left"/>
            </w:pPr>
            <w:r/>
            <w:r>
              <w:rPr>
                <w:b/>
                <w:color w:val="0F172A"/>
                <w:sz w:val="17"/>
              </w:rPr>
              <w:t>Methodology (/methodology)</w:t>
            </w:r>
          </w:p>
        </w:tc>
        <w:tc>
          <w:tcPr>
            <w:tcW w:type="dxa" w:w="2412"/>
            <w:vAlign w:val="center"/>
            <w:shd w:fill="F8FAFC" w:val="clear"/>
          </w:tcPr>
          <w:p>
            <w:pPr>
              <w:jc w:val="center"/>
            </w:pPr>
            <w:r/>
            <w:r>
              <w:rPr>
                <w:color w:val="0F172A"/>
                <w:sz w:val="17"/>
              </w:rPr>
              <w:t>HTTP Status Probe</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HTTP 200 OK</w:t>
            </w:r>
          </w:p>
        </w:tc>
      </w:tr>
      <w:tr>
        <w:tc>
          <w:tcPr>
            <w:tcW w:type="dxa" w:w="2412"/>
            <w:vAlign w:val="center"/>
          </w:tcPr>
          <w:p>
            <w:pPr>
              <w:jc w:val="left"/>
            </w:pPr>
            <w:r/>
            <w:r>
              <w:rPr>
                <w:b/>
                <w:color w:val="0F172A"/>
                <w:sz w:val="17"/>
              </w:rPr>
              <w:t>About Page (/about)</w:t>
            </w:r>
          </w:p>
        </w:tc>
        <w:tc>
          <w:tcPr>
            <w:tcW w:type="dxa" w:w="2412"/>
            <w:vAlign w:val="center"/>
          </w:tcPr>
          <w:p>
            <w:pPr>
              <w:jc w:val="center"/>
            </w:pPr>
            <w:r/>
            <w:r>
              <w:rPr>
                <w:color w:val="0F172A"/>
                <w:sz w:val="17"/>
              </w:rPr>
              <w:t>HTTP Status Probe</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HTTP 200 OK</w:t>
            </w:r>
          </w:p>
        </w:tc>
      </w:tr>
      <w:tr>
        <w:tc>
          <w:tcPr>
            <w:tcW w:type="dxa" w:w="2412"/>
            <w:vAlign w:val="center"/>
            <w:shd w:fill="F8FAFC" w:val="clear"/>
          </w:tcPr>
          <w:p>
            <w:pPr>
              <w:jc w:val="left"/>
            </w:pPr>
            <w:r/>
            <w:r>
              <w:rPr>
                <w:b/>
                <w:color w:val="0F172A"/>
                <w:sz w:val="17"/>
              </w:rPr>
              <w:t>Favicon (/favicon.svg)</w:t>
            </w:r>
          </w:p>
        </w:tc>
        <w:tc>
          <w:tcPr>
            <w:tcW w:type="dxa" w:w="2412"/>
            <w:vAlign w:val="center"/>
            <w:shd w:fill="F8FAFC" w:val="clear"/>
          </w:tcPr>
          <w:p>
            <w:pPr>
              <w:jc w:val="center"/>
            </w:pPr>
            <w:r/>
            <w:r>
              <w:rPr>
                <w:color w:val="0F172A"/>
                <w:sz w:val="17"/>
              </w:rPr>
              <w:t>HTTP Status Probe</w:t>
            </w:r>
          </w:p>
        </w:tc>
        <w:tc>
          <w:tcPr>
            <w:tcW w:type="dxa" w:w="2412"/>
            <w:vAlign w:val="center"/>
            <w:shd w:fill="F8FAFC" w:val="clear"/>
          </w:tcPr>
          <w:p>
            <w:pPr>
              <w:jc w:val="center"/>
            </w:pPr>
            <w:r/>
            <w:r>
              <w:rPr>
                <w:color w:val="0F172A"/>
                <w:sz w:val="17"/>
              </w:rPr>
              <w:t>VERIFIED ✓</w:t>
            </w:r>
          </w:p>
        </w:tc>
        <w:tc>
          <w:tcPr>
            <w:tcW w:type="dxa" w:w="2412"/>
            <w:vAlign w:val="center"/>
            <w:shd w:fill="F8FAFC" w:val="clear"/>
          </w:tcPr>
          <w:p>
            <w:pPr>
              <w:jc w:val="center"/>
            </w:pPr>
            <w:r/>
            <w:r>
              <w:rPr>
                <w:color w:val="0F172A"/>
                <w:sz w:val="17"/>
              </w:rPr>
              <w:t>HTTP 200 OK</w:t>
            </w:r>
          </w:p>
        </w:tc>
      </w:tr>
      <w:tr>
        <w:tc>
          <w:tcPr>
            <w:tcW w:type="dxa" w:w="2412"/>
            <w:vAlign w:val="center"/>
          </w:tcPr>
          <w:p>
            <w:pPr>
              <w:jc w:val="left"/>
            </w:pPr>
            <w:r/>
            <w:r>
              <w:rPr>
                <w:b/>
                <w:color w:val="0F172A"/>
                <w:sz w:val="17"/>
              </w:rPr>
              <w:t>Backend Docs (/docs)</w:t>
            </w:r>
          </w:p>
        </w:tc>
        <w:tc>
          <w:tcPr>
            <w:tcW w:type="dxa" w:w="2412"/>
            <w:vAlign w:val="center"/>
          </w:tcPr>
          <w:p>
            <w:pPr>
              <w:jc w:val="center"/>
            </w:pPr>
            <w:r/>
            <w:r>
              <w:rPr>
                <w:color w:val="0F172A"/>
                <w:sz w:val="17"/>
              </w:rPr>
              <w:t>Swagger UI Probe</w:t>
            </w:r>
          </w:p>
        </w:tc>
        <w:tc>
          <w:tcPr>
            <w:tcW w:type="dxa" w:w="2412"/>
            <w:vAlign w:val="center"/>
          </w:tcPr>
          <w:p>
            <w:pPr>
              <w:jc w:val="center"/>
            </w:pPr>
            <w:r/>
            <w:r>
              <w:rPr>
                <w:color w:val="0F172A"/>
                <w:sz w:val="17"/>
              </w:rPr>
              <w:t>VERIFIED ✓</w:t>
            </w:r>
          </w:p>
        </w:tc>
        <w:tc>
          <w:tcPr>
            <w:tcW w:type="dxa" w:w="2412"/>
            <w:vAlign w:val="center"/>
          </w:tcPr>
          <w:p>
            <w:pPr>
              <w:jc w:val="center"/>
            </w:pPr>
            <w:r/>
            <w:r>
              <w:rPr>
                <w:color w:val="0F172A"/>
                <w:sz w:val="17"/>
              </w:rPr>
              <w:t>HTTP 200 OK</w:t>
            </w:r>
          </w:p>
        </w:tc>
      </w:tr>
    </w:tbl>
    <w:p>
      <w:r>
        <w:br w:type="page"/>
      </w:r>
    </w:p>
    <w:p>
      <w:pPr>
        <w:pStyle w:val="Heading1"/>
      </w:pPr>
      <w:r>
        <w:rPr>
          <w:color w:val="0F172A"/>
        </w:rPr>
        <w:t>13. Summary of Key Files &amp; Directory Structure</w:t>
      </w:r>
    </w:p>
    <w:tbl>
      <w:tblPr>
        <w:tblW w:type="auto" w:w="0"/>
        <w:jc w:val="center"/>
        <w:tblLook w:firstColumn="1" w:firstRow="1" w:lastColumn="0" w:lastRow="0" w:noHBand="0" w:noVBand="1" w:val="04A0"/>
      </w:tblPr>
      <w:tblGrid>
        <w:gridCol w:w="9648"/>
      </w:tblGrid>
      <w:tr>
        <w:tc>
          <w:tcPr>
            <w:tcW w:type="dxa" w:w="9648"/>
            <w:shd w:fill="F1F5F9" w:val="clear"/>
          </w:tcPr>
          <w:p>
            <w:r>
              <w:rPr>
                <w:rFonts w:ascii="Consolas" w:hAnsi="Consolas"/>
                <w:b/>
                <w:color w:val="64748B"/>
                <w:sz w:val="16"/>
              </w:rPr>
              <w:t xml:space="preserve">  [Directory Tree]</w:t>
              <w:br/>
            </w:r>
            <w:r>
              <w:rPr>
                <w:rFonts w:ascii="Consolas" w:hAnsi="Consolas"/>
                <w:color w:val="0F172A"/>
                <w:sz w:val="16"/>
              </w:rPr>
              <w:t>GEOALERT/</w:t>
              <w:br/>
              <w:t>├── backend/</w:t>
              <w:br/>
              <w:t>│   ├── app/</w:t>
              <w:br/>
              <w:t>│   │   ├── config.py             # Base paths, frozen hashes, CORS regex</w:t>
              <w:br/>
              <w:t>│   │   ├── main.py               # FastAPI entry point, lifespan, routers</w:t>
              <w:br/>
              <w:t>│   │   ├── model_service.py      # Singleton loader for Model A &amp; Model B</w:t>
              <w:br/>
              <w:t>│   │   ├── rainfall_service.py   # Dynamic CHIRPS scenario engine</w:t>
              <w:br/>
              <w:t>│   │   ├── risk_engine.py        # Multiplicative coupling formulation</w:t>
              <w:br/>
              <w:t>│   │   ├── schemas.py            # Pydantic request &amp; response schemas</w:t>
              <w:br/>
              <w:t>│   │   └── routes/               # health, metadata, rainfall, risk, spatial</w:t>
              <w:br/>
              <w:t>│   ├── tests/                    # 17 automated Pytest unit tests</w:t>
              <w:br/>
              <w:t>│   ├── Dockerfile                # Multi-stage Python 3.12 container</w:t>
              <w:br/>
              <w:t>│   └── requirements.txt          # Backend dependencies</w:t>
              <w:br/>
              <w:t>├── frontend/</w:t>
              <w:br/>
              <w:t>│   ├── app/</w:t>
              <w:br/>
              <w:t>│   │   ├── layout.tsx            # GEOALERT branding, typography, metadata</w:t>
              <w:br/>
              <w:t>│   │   ├── page.tsx              # Dashboard command center &amp; dynamic KPIs</w:t>
              <w:br/>
              <w:t>│   │   ├── risk-map/page.tsx     # Fullscreen GIS map center</w:t>
              <w:br/>
              <w:t>│   │   ├── analytics/page.tsx    # Regional block vulnerability ranking</w:t>
              <w:br/>
              <w:t>│   │   ├── infrastructure/page.tsx # 5 highway corridor stress tests</w:t>
              <w:br/>
              <w:t>│   │   ├── methodology/page.tsx  # Dual-model mathematical architecture</w:t>
              <w:br/>
              <w:t>│   │   └── about/page.tsx        # Cryptographic checksums &amp; tech specs</w:t>
              <w:br/>
              <w:t>│   ├── components/</w:t>
              <w:br/>
              <w:t>│   │   ├── common/               # Navbar, Footer, Logo (SVG Beacon)</w:t>
              <w:br/>
              <w:t>│   │   ├── dashboard/            # KPICards, InspectorPanel, RainfallPanel</w:t>
              <w:br/>
              <w:t>│   │   └── map/                  # LeafletMap, RiskMapWrapper</w:t>
              <w:br/>
              <w:t>│   ├── lib/</w:t>
              <w:br/>
              <w:t>│   │   ├── api.ts                # Client API methods with fallback handling</w:t>
              <w:br/>
              <w:t>│   │   ├── constants.ts          # Alert tiers, blocks, map center</w:t>
              <w:br/>
              <w:t>│   │   └── types.ts              # TypeScript interfaces</w:t>
              <w:br/>
              <w:t>│   ├── public/</w:t>
              <w:br/>
              <w:t>│   │   ├── favicon.svg           # Vector topographic contour &amp; beacon</w:t>
              <w:br/>
              <w:t>│   │   └── data/                 # Regional risk surface GeoJSON fallback</w:t>
              <w:br/>
              <w:t>│   ├── Dockerfile                # Next.js standalone container</w:t>
              <w:br/>
              <w:t>│   └── vercel.json               # Vercel deployment configuration</w:t>
              <w:br/>
              <w:t>├── models/</w:t>
              <w:br/>
              <w:t>│   ├── expC_random_forest.joblib # Frozen Model A artifact (16 features)</w:t>
              <w:br/>
              <w:t>│   ├── modelB_production_pipeline.joblib # Frozen Model B (10 features)</w:t>
              <w:br/>
              <w:t>│   └── metadata files            # Training parameters &amp; feature lists</w:t>
              <w:br/>
              <w:t>├── data/</w:t>
              <w:br/>
              <w:t>│   ├── phase4/section34_spatial_risk/ # 3,156-cell GeoJSON and CSV</w:t>
              <w:br/>
              <w:t>│   └── processed/                # Training, validation, holdout splits</w:t>
              <w:br/>
              <w:t>├── docs/</w:t>
              <w:br/>
              <w:t>│   └── CLOUD_DEPLOYMENT.md       # Step-by-step Vercel, Render, Railway</w:t>
              <w:br/>
              <w:t>├── reports/                      # Historical forensic reports (Sec 14–38)</w:t>
              <w:br/>
              <w:t>├── scripts/</w:t>
              <w:br/>
              <w:t>│   ├── run_backend.py            # Backend local runner</w:t>
              <w:br/>
              <w:t>│   └── e2e_system_test.py        # System verification test</w:t>
              <w:br/>
              <w:t>├── docker-compose.yml            # Multi-container local orchestration</w:t>
              <w:br/>
              <w:t>├── Procfile                      # Railway / Heroku process definition</w:t>
              <w:br/>
              <w:t>├── railway.json                  # Railway deployment configuration</w:t>
              <w:br/>
              <w:t>├── render.yaml                   # Render Blueprint for backend API</w:t>
              <w:br/>
              <w:t>├── vercel.json                   # Root Vercel build configuration</w:t>
              <w:br/>
              <w:t>└── requirements.txt              # Root Python dependencies</w:t>
            </w:r>
          </w:p>
        </w:tc>
      </w:tr>
    </w:tbl>
    <w:p/>
    <w:p>
      <w:r>
        <w:br w:type="page"/>
      </w:r>
    </w:p>
    <w:p>
      <w:pPr>
        <w:pStyle w:val="Heading1"/>
      </w:pPr>
      <w:r>
        <w:rPr>
          <w:color w:val="0F172A"/>
        </w:rPr>
        <w:t>14. Conclusion &amp; Key Architectural Takeaways</w:t>
      </w:r>
    </w:p>
    <w:p>
      <w:pPr>
        <w:spacing w:after="160"/>
      </w:pPr>
      <w:r>
        <w:rPr>
          <w:b/>
          <w:color w:val="386DB0"/>
          <w:sz w:val="22"/>
        </w:rPr>
        <w:t xml:space="preserve">1. Scientifically Rigorous: </w:t>
      </w:r>
      <w:r>
        <w:rPr>
          <w:color w:val="0F172A"/>
          <w:sz w:val="21"/>
        </w:rPr>
        <w:t>Replaced simplistic, false-alarm-prone rainfall thresholds with an empirically validated decoupled formulation that eliminated 71.0% of false alarms on untouched field tests.</w:t>
      </w:r>
    </w:p>
    <w:p>
      <w:pPr>
        <w:spacing w:after="160"/>
      </w:pPr>
      <w:r>
        <w:rPr>
          <w:b/>
          <w:color w:val="386DB0"/>
          <w:sz w:val="22"/>
        </w:rPr>
        <w:t xml:space="preserve">2. Technically Bulletproof: </w:t>
      </w:r>
      <w:r>
        <w:rPr>
          <w:color w:val="0F172A"/>
          <w:sz w:val="21"/>
        </w:rPr>
        <w:t>All 3,156 spatial cells and infrastructure stress tests are dynamically evaluated in real-time by frozen Model A and Model B artifacts. No hardcoded mock values or simulated heuristics remain.</w:t>
      </w:r>
    </w:p>
    <w:p>
      <w:pPr>
        <w:spacing w:after="160"/>
      </w:pPr>
      <w:r>
        <w:rPr>
          <w:b/>
          <w:color w:val="386DB0"/>
          <w:sz w:val="22"/>
        </w:rPr>
        <w:t xml:space="preserve">3. Production-Ready &amp; Cloud-Deployable: </w:t>
      </w:r>
      <w:r>
        <w:rPr>
          <w:color w:val="0F172A"/>
          <w:sz w:val="21"/>
        </w:rPr>
        <w:t>Can be deployed in minutes to Vercel and Render / Railway with zero configuration, universal CORS support, and Docker Compose readiness.</w:t>
      </w:r>
    </w:p>
    <w:p>
      <w:pPr>
        <w:spacing w:after="160"/>
      </w:pPr>
      <w:r>
        <w:rPr>
          <w:b/>
          <w:color w:val="386DB0"/>
          <w:sz w:val="22"/>
        </w:rPr>
        <w:t xml:space="preserve">4. Honest &amp; Ethical: </w:t>
      </w:r>
      <w:r>
        <w:rPr>
          <w:color w:val="0F172A"/>
          <w:sz w:val="21"/>
        </w:rPr>
        <w:t>Explicitly adheres to responsible AI practices by reporting "DEMO / SCENARIO MODE" when offline, never claiming unverified live civil warning authorization.</w:t>
      </w:r>
    </w:p>
    <w:p/>
    <w:tbl>
      <w:tblPr>
        <w:tblW w:type="auto" w:w="0"/>
        <w:jc w:val="center"/>
        <w:tblLook w:firstColumn="1" w:firstRow="1" w:lastColumn="0" w:lastRow="0" w:noHBand="0" w:noVBand="1" w:val="04A0"/>
      </w:tblPr>
      <w:tblGrid>
        <w:gridCol w:w="9648"/>
      </w:tblGrid>
      <w:tr>
        <w:tc>
          <w:tcPr>
            <w:tcW w:type="dxa" w:w="9648"/>
            <w:shd w:fill="DCFCE7" w:val="clear"/>
          </w:tcPr>
          <w:p>
            <w:r>
              <w:rPr>
                <w:b/>
                <w:color w:val="166534"/>
                <w:sz w:val="19"/>
              </w:rPr>
              <w:t xml:space="preserve">✅  SUCCESS: </w:t>
            </w:r>
            <w:r>
              <w:rPr>
                <w:color w:val="166534"/>
                <w:sz w:val="19"/>
              </w:rPr>
              <w:t>GEOALERT represents a complete, field-validated, production-ready landslide risk intelligence platform. Every number, every map marker, every corridor risk score flows directly from frozen ML models trained on verified GSI field data and CHIRPS satellite precipitation telemetry. The platform is ready for operational deployment supporting disaster management agencies across Meghalaya and Northeast India.</w:t>
            </w:r>
          </w:p>
        </w:tc>
      </w:tr>
    </w:tbl>
    <w:p/>
    <w:p/>
    <w:p>
      <w:pPr>
        <w:jc w:val="center"/>
      </w:pPr>
      <w:r>
        <w:rPr>
          <w:i/>
          <w:color w:val="64748B"/>
          <w:sz w:val="22"/>
        </w:rPr>
        <w:t>— End of GEOALERT Comprehensive Report —</w:t>
      </w:r>
    </w:p>
    <w:p>
      <w:pPr>
        <w:jc w:val="center"/>
      </w:pPr>
      <w:r>
        <w:rPr>
          <w:color w:val="64748B"/>
          <w:sz w:val="18"/>
        </w:rPr>
        <w:t>GEOALERT Research &amp; Engineering Team</w:t>
      </w:r>
    </w:p>
    <w:p>
      <w:pPr>
        <w:jc w:val="center"/>
      </w:pPr>
      <w:r>
        <w:rPr>
          <w:color w:val="386DB0"/>
          <w:sz w:val="18"/>
        </w:rPr>
        <w:t>github.com/aruchith08/GEOALERT-SIH-2026</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