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0"/>
          <w:szCs w:val="30"/>
        </w:rPr>
        <w:t xml:space="preserve">TransitOps: A Full-Stack Fleet Operations Platform Secured by a Seven-Policy Zero Trust Continuous Authorization (ZTCA) Middleware</w:t>
      </w:r>
    </w:p>
    <w:p>
      <w:pPr>
        <w:spacing w:after="40"/>
        <w:jc w:val="center"/>
      </w:pPr>
      <w:r>
        <w:rPr>
          <w:rFonts w:ascii="Times New Roman" w:cs="Times New Roman" w:eastAsia="Times New Roman" w:hAnsi="Times New Roman"/>
          <w:sz w:val="21"/>
          <w:szCs w:val="21"/>
        </w:rPr>
        <w:t xml:space="preserve">Bommana Arudra Vihar, Penta Preethika, Vempala Sai Gautam, Penumudi Anand Mahadev</w:t>
      </w:r>
    </w:p>
    <w:p>
      <w:pPr>
        <w:spacing w:after="40"/>
        <w:jc w:val="center"/>
      </w:pPr>
      <w:r>
        <w:rPr>
          <w:rFonts w:ascii="Times New Roman" w:cs="Times New Roman" w:eastAsia="Times New Roman" w:hAnsi="Times New Roman"/>
          <w:i/>
          <w:iCs/>
          <w:sz w:val="19"/>
          <w:szCs w:val="19"/>
        </w:rPr>
        <w:t xml:space="preserve">Department of Computer Science and Engineering (AI &amp; ML)</w:t>
      </w:r>
    </w:p>
    <w:p>
      <w:pPr>
        <w:spacing w:after="40"/>
        <w:jc w:val="center"/>
      </w:pPr>
      <w:r>
        <w:rPr>
          <w:rFonts w:ascii="Times New Roman" w:cs="Times New Roman" w:eastAsia="Times New Roman" w:hAnsi="Times New Roman"/>
          <w:i/>
          <w:iCs/>
          <w:sz w:val="19"/>
          <w:szCs w:val="19"/>
        </w:rPr>
        <w:t xml:space="preserve">Gayatri Vidya Parishad College of Engineering (Autonomous), Visakhapatnam, India</w:t>
      </w:r>
    </w:p>
    <w:p>
      <w:pPr>
        <w:spacing w:after="260"/>
        <w:jc w:val="center"/>
      </w:pPr>
      <w:r>
        <w:rPr>
          <w:rFonts w:ascii="Times New Roman" w:cs="Times New Roman" w:eastAsia="Times New Roman" w:hAnsi="Times New Roman"/>
          <w:i/>
          <w:iCs/>
          <w:sz w:val="17"/>
          <w:szCs w:val="17"/>
        </w:rPr>
        <w:t xml:space="preserve">Zero Trust Cloud Security Virtual Internship — Supported by Zscaler, under the AICTE–EduSkills Virtual Internship Ecosystem</w:t>
      </w:r>
    </w:p>
    <w:p>
      <w:pPr>
        <w:spacing w:after="100"/>
      </w:pPr>
      <w:r>
        <w:rPr>
          <w:rFonts w:ascii="Times New Roman" w:cs="Times New Roman" w:eastAsia="Times New Roman" w:hAnsi="Times New Roman"/>
          <w:b/>
          <w:bCs/>
          <w:i/>
          <w:iCs/>
          <w:sz w:val="18"/>
          <w:szCs w:val="18"/>
        </w:rPr>
        <w:t xml:space="preserve">Abstract— </w:t>
      </w:r>
      <w:r>
        <w:rPr>
          <w:rFonts w:ascii="Times New Roman" w:cs="Times New Roman" w:eastAsia="Times New Roman" w:hAnsi="Times New Roman"/>
          <w:sz w:val="18"/>
          <w:szCs w:val="18"/>
        </w:rPr>
        <w:t xml:space="preserve">This paper presents TransitOps, a full-stack Smart Fleet Operations platform in which Zero Trust Continuous Authorization (ZTCA) is implemented as a native, request-level middleware rather than as a bolt-on security feature. The platform combines a React 19 / Vite frontend, an Express 5 / TypeScript backend, and a repository-backed JSON persistence layer with a dedicated authorization layer that intercepts every protected REST request, builds a fresh request context from six-role identity, device fingerprint, geolocation, temporal signals, and endpoint sensitivity, and computes a continuous, explainable 0–100 risk score. The score and context are evaluated against a Policy Decision Point (PDP) that implements all seven Zero Trust elements defined across the Verify, Control, and Enforce sections of the architecture — administrative lockdown, least-privilege role-matrix enforcement, continuous session revocation, dispatch step-up verification, fleet-record modification protection, financial read-only downgrade, and a universal critical-risk interceptor — resolving every request into one of four enforceable outcomes: ALLOW, STEP_UP, READ_ONLY, or BLOCK. A Step-Up Multi-Factor Authentication flow issues a short-lived verification token that reduces risk by a fixed credit, while an immutable, append-only audit trail records every decision, live or simulated, and is reflected on a Security Admin Panel and a user-facing Trust Center within 1.5 seconds through a combination of short-interval database polling and BroadcastChannel push events. The paper documents the full-stack-plus-middleware architectural ideology behind the system, details the concrete implementation of all seven policies with their trigger conditions and thresholds, and walks through representative request scenarios computed directly against the deployed risk engine. The results show that continuous, per-request, explainable authorization can be embedded directly into an operational full-stack application without depending on an external identity broker, while preserving live auditability and administrator transparency.</w:t>
      </w:r>
    </w:p>
    <w:p>
      <w:pPr>
        <w:spacing w:after="100"/>
      </w:pPr>
      <w:r>
        <w:rPr>
          <w:rFonts w:ascii="Times New Roman" w:cs="Times New Roman" w:eastAsia="Times New Roman" w:hAnsi="Times New Roman"/>
          <w:b/>
          <w:bCs/>
          <w:i/>
          <w:iCs/>
          <w:sz w:val="18"/>
          <w:szCs w:val="18"/>
        </w:rPr>
        <w:t xml:space="preserve">Index Terms— </w:t>
      </w:r>
      <w:r>
        <w:rPr>
          <w:rFonts w:ascii="Times New Roman" w:cs="Times New Roman" w:eastAsia="Times New Roman" w:hAnsi="Times New Roman"/>
          <w:i/>
          <w:iCs/>
          <w:sz w:val="18"/>
          <w:szCs w:val="18"/>
        </w:rPr>
        <w:t xml:space="preserve">Zero Trust Architecture, Continuous Authorization, Policy Decision Point, Policy Enforcement Point, Role-Based Access Control, Step-Up Multi-Factor Authentication, Session Revocation, Full-Stack Middleware Security, Real-Time Audit Reflection.</w:t>
      </w:r>
    </w:p>
    <w:p>
      <w:pPr>
        <w:sectPr>
          <w:pgSz w:w="12240" w:h="15840" w:orient="portrait"/>
          <w:pgMar w:top="1080" w:right="1080" w:bottom="1080" w:left="1080" w:header="708" w:footer="708" w:gutter="0"/>
          <w:pgNumType/>
          <w:cols w:num="1"/>
          <w:docGrid w:linePitch="360"/>
        </w:sectPr>
      </w:pPr>
    </w:p>
    <w:p>
      <w:pPr>
        <w:spacing w:after="160" w:before="280"/>
        <w:jc w:val="center"/>
      </w:pPr>
      <w:r>
        <w:rPr>
          <w:rFonts w:ascii="Times New Roman" w:cs="Times New Roman" w:eastAsia="Times New Roman" w:hAnsi="Times New Roman"/>
          <w:b/>
          <w:bCs/>
          <w:sz w:val="20"/>
          <w:szCs w:val="20"/>
        </w:rPr>
        <w:t xml:space="preserve">I. INTRODUCTION</w:t>
      </w:r>
    </w:p>
    <w:p>
      <w:pPr>
        <w:spacing w:after="140" w:line="264"/>
        <w:jc w:val="both"/>
      </w:pPr>
      <w:r>
        <w:rPr>
          <w:rFonts w:ascii="Times New Roman" w:cs="Times New Roman" w:eastAsia="Times New Roman" w:hAnsi="Times New Roman"/>
          <w:sz w:val="19"/>
          <w:szCs w:val="19"/>
        </w:rPr>
        <w:t xml:space="preserve">The dominant security pattern in web applications remains "authenticate once, trust for the life of the session." A user signs in, receives a session cookie or bearer token, and every subsequent request on that credential is treated as equally trustworthy regardless of the device, location, or hour it later arrives from. In an operational fleet-management context — where a single authenticated session can dispatch vehicles, edit driver licensing records, or post financial expense entries — this static trust model leaves a wide window for credential replay, session hijacking, and insider privilege abuse to go undetected until after the damage is done.</w:t>
      </w:r>
    </w:p>
    <w:p>
      <w:pPr>
        <w:spacing w:after="140" w:line="264"/>
        <w:jc w:val="both"/>
      </w:pPr>
      <w:r>
        <w:rPr>
          <w:rFonts w:ascii="Times New Roman" w:cs="Times New Roman" w:eastAsia="Times New Roman" w:hAnsi="Times New Roman"/>
          <w:sz w:val="19"/>
          <w:szCs w:val="19"/>
        </w:rPr>
        <w:t xml:space="preserve">TransitOps was built to close that window directly inside the application stack rather than through an external, enterprise-priced Zero Trust Network Access (ZTNA) broker. It embeds a self-contained Zero Trust Continuous Authorization (ZTCA) middleware between the React frontend and the Express REST API, so that every protected request — not just the initial login — is independently verified, risk-scored, and policy-checked before the corresponding route handler is permitted to run. The result is a full-stack application in which security is not a separate product bolted on afterward, but a first-class architectural layer with its own context builder, risk engine, policy decision point, and live audit trail.</w:t>
      </w:r>
    </w:p>
    <w:p>
      <w:pPr>
        <w:spacing w:after="140" w:line="264"/>
        <w:jc w:val="both"/>
      </w:pPr>
      <w:r>
        <w:rPr>
          <w:rFonts w:ascii="Times New Roman" w:cs="Times New Roman" w:eastAsia="Times New Roman" w:hAnsi="Times New Roman"/>
          <w:sz w:val="19"/>
          <w:szCs w:val="19"/>
        </w:rPr>
        <w:t xml:space="preserve">This paper makes the following contributions:</w:t>
      </w:r>
    </w:p>
    <w:p>
      <w:pPr>
        <w:spacing w:after="60"/>
        <w:ind w:left="300" w:hanging="200"/>
      </w:pPr>
      <w:r>
        <w:rPr>
          <w:rFonts w:ascii="Times New Roman" w:cs="Times New Roman" w:eastAsia="Times New Roman" w:hAnsi="Times New Roman"/>
          <w:sz w:val="19"/>
          <w:szCs w:val="19"/>
        </w:rPr>
        <w:t xml:space="preserve">•  A full-stack-plus-middleware architectural account of TransitOps, showing exactly where identity, context, risk, policy, and audit responsibilities sit relative to the frontend, backend, and data layers.</w:t>
      </w:r>
    </w:p>
    <w:p>
      <w:pPr>
        <w:spacing w:after="60"/>
        <w:ind w:left="300" w:hanging="200"/>
      </w:pPr>
      <w:r>
        <w:rPr>
          <w:rFonts w:ascii="Times New Roman" w:cs="Times New Roman" w:eastAsia="Times New Roman" w:hAnsi="Times New Roman"/>
          <w:sz w:val="19"/>
          <w:szCs w:val="19"/>
        </w:rPr>
        <w:t xml:space="preserve">•  A complete, code-accurate description of all seven ZTCA policies actually enforced by the deployed engine — five configurable policies and two mandatory, hardcoded guard rules — organized under the Verify / Control / Enforce sections of NIST SP 800-207.</w:t>
      </w:r>
    </w:p>
    <w:p>
      <w:pPr>
        <w:spacing w:after="60"/>
        <w:ind w:left="300" w:hanging="200"/>
      </w:pPr>
      <w:r>
        <w:rPr>
          <w:rFonts w:ascii="Times New Roman" w:cs="Times New Roman" w:eastAsia="Times New Roman" w:hAnsi="Times New Roman"/>
          <w:sz w:val="19"/>
          <w:szCs w:val="19"/>
        </w:rPr>
        <w:t xml:space="preserve">•  A precise account of the Step-Up MFA and continuous session-revocation mechanisms, including the exact risk-credit arithmetic applied on successful verification.</w:t>
      </w:r>
    </w:p>
    <w:p>
      <w:pPr>
        <w:spacing w:after="60"/>
        <w:ind w:left="300" w:hanging="200"/>
      </w:pPr>
      <w:r>
        <w:rPr>
          <w:rFonts w:ascii="Times New Roman" w:cs="Times New Roman" w:eastAsia="Times New Roman" w:hAnsi="Times New Roman"/>
          <w:sz w:val="19"/>
          <w:szCs w:val="19"/>
        </w:rPr>
        <w:t xml:space="preserve">•  A description of the system's liveness guarantee — how a decision made against one browser tab is reflected on the Security Admin Panel and Trust Center within roughly 1.5 seconds through polling and BroadcastChannel events.</w:t>
      </w:r>
    </w:p>
    <w:p>
      <w:pPr>
        <w:spacing w:after="140" w:line="264"/>
        <w:jc w:val="both"/>
      </w:pPr>
      <w:r>
        <w:rPr>
          <w:rFonts w:ascii="Times New Roman" w:cs="Times New Roman" w:eastAsia="Times New Roman" w:hAnsi="Times New Roman"/>
          <w:sz w:val="19"/>
          <w:szCs w:val="19"/>
        </w:rPr>
        <w:t xml:space="preserve">The remainder of the paper proceeds as follows. Section II reviews related Zero Trust literature. Section III lays out the full-stack-plus-middleware architectural ideology. Section IV covers identity and context modelling. Section V details the risk engine. Section VI documents all seven policies. Section VII explains the Policy Decision Point's decision logic. Section VIII covers Step-Up MFA and session revocation. Section IX documents real-time liveness. Section X covers the Trust Center. Section XI walks through case-study scenarios. Section XII presents evaluation results, followed by discussion, limitations, future work, and conclusion.</w:t>
      </w:r>
    </w:p>
    <w:p>
      <w:pPr>
        <w:spacing w:after="160" w:before="280"/>
        <w:jc w:val="center"/>
      </w:pPr>
      <w:r>
        <w:rPr>
          <w:rFonts w:ascii="Times New Roman" w:cs="Times New Roman" w:eastAsia="Times New Roman" w:hAnsi="Times New Roman"/>
          <w:b/>
          <w:bCs/>
          <w:sz w:val="20"/>
          <w:szCs w:val="20"/>
        </w:rPr>
        <w:t xml:space="preserve">II. RELATED WORK</w:t>
      </w:r>
    </w:p>
    <w:p>
      <w:pPr>
        <w:spacing w:after="140" w:line="264"/>
        <w:jc w:val="both"/>
      </w:pPr>
      <w:r>
        <w:rPr>
          <w:rFonts w:ascii="Times New Roman" w:cs="Times New Roman" w:eastAsia="Times New Roman" w:hAnsi="Times New Roman"/>
          <w:sz w:val="19"/>
          <w:szCs w:val="19"/>
        </w:rPr>
        <w:t xml:space="preserve">NIST SP 800-207 formalizes Zero Trust Architecture around the separation of a Policy Decision Point (PDP), which evaluates identity, asset state, and context to reach an access decision, from a Policy Enforcement Point (PEP), which carries that decision out [1]. TransitOps' ZTCA middleware adopts this separation directly: the Express interceptor plays the PEP role, while the ZTCAEngine class plays the PDP role. NIST SP 800-207A extends the same principles to cloud-native and microservice applications with granular, per-request authorization [3], which matches the request-level (rather than session-level) granularity implemented here.</w:t>
      </w:r>
    </w:p>
    <w:p>
      <w:pPr>
        <w:spacing w:after="140" w:line="264"/>
        <w:jc w:val="both"/>
      </w:pPr>
      <w:r>
        <w:rPr>
          <w:rFonts w:ascii="Times New Roman" w:cs="Times New Roman" w:eastAsia="Times New Roman" w:hAnsi="Times New Roman"/>
          <w:sz w:val="19"/>
          <w:szCs w:val="19"/>
        </w:rPr>
        <w:t xml:space="preserve">Google's BeyondCorp demonstrated that an enterprise could replace VPN-based perimeter trust with access decisions grounded in user and device inventory, independent of network location [2], and its companion BeyondCorp Access Proxy architecture centralizes policy enforcement in front of internal applications [4] — the same structural role occupied by the ZTCA middleware in front of TransitOps' REST API. Commercial ZTNA suites such as Zscaler's Zero Trust Exchange popularize a Verify → Control → Enforce pipeline; this terminology is intentionally reused throughout this paper because it maps cleanly onto the seven ZTCA elements documented in Section VI.</w:t>
      </w:r>
    </w:p>
    <w:p>
      <w:pPr>
        <w:spacing w:after="160" w:before="280"/>
        <w:jc w:val="center"/>
      </w:pPr>
      <w:r>
        <w:rPr>
          <w:rFonts w:ascii="Times New Roman" w:cs="Times New Roman" w:eastAsia="Times New Roman" w:hAnsi="Times New Roman"/>
          <w:b/>
          <w:bCs/>
          <w:sz w:val="20"/>
          <w:szCs w:val="20"/>
        </w:rPr>
        <w:t xml:space="preserve">III. FULL-STACK + ZERO TRUST MIDDLEWARE ARCHITECTURE</w:t>
      </w:r>
    </w:p>
    <w:p>
      <w:pPr>
        <w:spacing w:after="100" w:before="200"/>
      </w:pPr>
      <w:r>
        <w:rPr>
          <w:rFonts w:ascii="Times New Roman" w:cs="Times New Roman" w:eastAsia="Times New Roman" w:hAnsi="Times New Roman"/>
          <w:b/>
          <w:bCs/>
          <w:i/>
          <w:iCs/>
          <w:sz w:val="19"/>
          <w:szCs w:val="19"/>
        </w:rPr>
        <w:t xml:space="preserve">A. Architectural Philosophy</w:t>
      </w:r>
    </w:p>
    <w:p>
      <w:pPr>
        <w:spacing w:after="140" w:line="264"/>
        <w:jc w:val="both"/>
      </w:pPr>
      <w:r>
        <w:rPr>
          <w:rFonts w:ascii="Times New Roman" w:cs="Times New Roman" w:eastAsia="Times New Roman" w:hAnsi="Times New Roman"/>
          <w:sz w:val="19"/>
          <w:szCs w:val="19"/>
        </w:rPr>
        <w:t xml:space="preserve">The guiding design principle behind TransitOps is that Zero Trust cannot be an afterthought layered on top of a finished application — it must be a structural peer to the frontend, backend, and data layers, sitting directly in the request path of every protected operation. Concretely, this means the authorization layer is neither part of the frontend (which cannot be trusted to self-report its own risk) nor buried inside individual route handlers (which would scatter security logic across dozens of files and make it impossible to audit consistently). Instead, ZTCA is implemented as a single Express middleware function that every protected route passes through before its own business logic executes, giving the system one place where identity, context, risk, and policy are evaluated uniformly.</w:t>
      </w:r>
    </w:p>
    <w:p>
      <w:pPr>
        <w:spacing w:before="200"/>
      </w:pP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4860"/>
      </w:tblGrid>
      <w:tr>
        <w:trPr>
          <w:trHeight w:val="1900" w:hRule="atLeast"/>
        </w:trPr>
        <w:tc>
          <w:tcPr>
            <w:tcW w:type="dxa" w:w="4860"/>
            <w:tcBorders>
              <w:top w:val="dashed" w:color="808080" w:sz="6"/>
              <w:left w:val="dashed" w:color="808080" w:sz="6"/>
              <w:bottom w:val="dashed" w:color="808080" w:sz="6"/>
              <w:right w:val="dashed" w:color="808080" w:sz="6"/>
            </w:tcBorders>
            <w:shd w:fill="F2F2F2" w:val="clear"/>
            <w:tcMar>
              <w:top w:type="dxa" w:w="200"/>
              <w:left w:type="dxa" w:w="260"/>
              <w:bottom w:type="dxa" w:w="200"/>
              <w:right w:type="dxa" w:w="260"/>
            </w:tcMar>
            <w:vAlign w:val="center"/>
          </w:tcPr>
          <w:p>
            <w:pPr>
              <w:spacing w:after="80"/>
              <w:jc w:val="center"/>
            </w:pPr>
            <w:r>
              <w:rPr>
                <w:rFonts w:ascii="Times New Roman" w:cs="Times New Roman" w:eastAsia="Times New Roman" w:hAnsi="Times New Roman"/>
                <w:b/>
                <w:bCs/>
                <w:i/>
                <w:iCs/>
                <w:color w:val="595959"/>
                <w:sz w:val="16"/>
                <w:szCs w:val="16"/>
              </w:rPr>
              <w:t xml:space="preserve">[ SCREENSHOT / DIAGRAM SPACE — NOT YET INSERTED ]</w:t>
            </w:r>
          </w:p>
          <w:p>
            <w:pPr>
              <w:jc w:val="center"/>
            </w:pPr>
            <w:r>
              <w:rPr>
                <w:rFonts w:ascii="Times New Roman" w:cs="Times New Roman" w:eastAsia="Times New Roman" w:hAnsi="Times New Roman"/>
                <w:i/>
                <w:iCs/>
                <w:color w:val="404040"/>
                <w:sz w:val="16"/>
                <w:szCs w:val="16"/>
              </w:rPr>
              <w:t xml:space="preserve">Place here: a full architecture diagram showing Client → Policy Enforcement Point (Express middleware) → Context Builder → ZTCA Risk Engine → Policy Decision Point → Enforcement Handler → Audit Store, with a side branch to the Security Admin Dashboard and Trust Center.</w:t>
            </w:r>
          </w:p>
        </w:tc>
      </w:tr>
    </w:tbl>
    <w:p>
      <w:pPr>
        <w:spacing w:after="200" w:before="80"/>
        <w:jc w:val="center"/>
      </w:pPr>
      <w:r>
        <w:rPr>
          <w:rFonts w:ascii="Times New Roman" w:cs="Times New Roman" w:eastAsia="Times New Roman" w:hAnsi="Times New Roman"/>
          <w:sz w:val="16"/>
          <w:szCs w:val="16"/>
        </w:rPr>
        <w:t xml:space="preserve">Fig. 1. Zero Trust Exchange pipeline — the four-layer full-stack-plus-middleware architecture of TransitOps.</w:t>
      </w:r>
    </w:p>
    <w:p>
      <w:pPr>
        <w:spacing w:after="100" w:before="200"/>
      </w:pPr>
      <w:r>
        <w:rPr>
          <w:rFonts w:ascii="Times New Roman" w:cs="Times New Roman" w:eastAsia="Times New Roman" w:hAnsi="Times New Roman"/>
          <w:b/>
          <w:bCs/>
          <w:i/>
          <w:iCs/>
          <w:sz w:val="19"/>
          <w:szCs w:val="19"/>
        </w:rPr>
        <w:t xml:space="preserve">B. Frontend Layer</w:t>
      </w:r>
    </w:p>
    <w:p>
      <w:pPr>
        <w:spacing w:after="140" w:line="264"/>
        <w:jc w:val="both"/>
      </w:pPr>
      <w:r>
        <w:rPr>
          <w:rFonts w:ascii="Times New Roman" w:cs="Times New Roman" w:eastAsia="Times New Roman" w:hAnsi="Times New Roman"/>
          <w:sz w:val="19"/>
          <w:szCs w:val="19"/>
        </w:rPr>
        <w:t xml:space="preserve">The frontend is a React 19 single-page application built with Vite 6 and styled with Tailwind CSS 4, providing role-aware operational dashboards (Dashboard, Vehicles, Drivers, Trips, Maintenance, Expenses, Reports), a Security Admin Panel, and a Trust Center. Every outgoing API call is wrapped with a client-side ZTCA header layer that attaches the current user's identity, device fingerprint, and simulated geolocation to the request — the raw material the middleware later verifies rather than trusts outright.</w:t>
      </w:r>
    </w:p>
    <w:p>
      <w:pPr>
        <w:spacing w:after="100" w:before="200"/>
      </w:pPr>
      <w:r>
        <w:rPr>
          <w:rFonts w:ascii="Times New Roman" w:cs="Times New Roman" w:eastAsia="Times New Roman" w:hAnsi="Times New Roman"/>
          <w:b/>
          <w:bCs/>
          <w:i/>
          <w:iCs/>
          <w:sz w:val="19"/>
          <w:szCs w:val="19"/>
        </w:rPr>
        <w:t xml:space="preserve">C. Application (Backend) Layer</w:t>
      </w:r>
    </w:p>
    <w:p>
      <w:pPr>
        <w:spacing w:after="140" w:line="264"/>
        <w:jc w:val="both"/>
      </w:pPr>
      <w:r>
        <w:rPr>
          <w:rFonts w:ascii="Times New Roman" w:cs="Times New Roman" w:eastAsia="Times New Roman" w:hAnsi="Times New Roman"/>
          <w:sz w:val="19"/>
          <w:szCs w:val="19"/>
        </w:rPr>
        <w:t xml:space="preserve">The backend is an Express 5 server implemented in TypeScript, exposing REST endpoints for authentication, vehicle management, driver registration, trip dispatch, maintenance, fuel and expense logging, notifications, analytics, and ZTCA administration. Persistence uses a lightweight repository pattern over JSON files under backend/data/, keeping business records (vehicles.json, drivers.json, trips.json, expenses.json, etc.) architecturally separate from security records (ztcaAuditLogs.json, ztcaPolicies.json, ztcaDevices.json, ztcaLocations.json), so that a change to one can never silently corrupt the other.</w:t>
      </w:r>
    </w:p>
    <w:p>
      <w:pPr>
        <w:spacing w:after="100" w:before="200"/>
      </w:pPr>
      <w:r>
        <w:rPr>
          <w:rFonts w:ascii="Times New Roman" w:cs="Times New Roman" w:eastAsia="Times New Roman" w:hAnsi="Times New Roman"/>
          <w:b/>
          <w:bCs/>
          <w:i/>
          <w:iCs/>
          <w:sz w:val="19"/>
          <w:szCs w:val="19"/>
        </w:rPr>
        <w:t xml:space="preserve">D. Middleware / Authorization Layer</w:t>
      </w:r>
    </w:p>
    <w:p>
      <w:pPr>
        <w:spacing w:after="140" w:line="264"/>
        <w:jc w:val="both"/>
      </w:pPr>
      <w:r>
        <w:rPr>
          <w:rFonts w:ascii="Times New Roman" w:cs="Times New Roman" w:eastAsia="Times New Roman" w:hAnsi="Times New Roman"/>
          <w:sz w:val="19"/>
          <w:szCs w:val="19"/>
        </w:rPr>
        <w:t xml:space="preserve">The ztcaAuthorizationMiddleware function is the single interception point for every request under /api, excluding login, registration, the Step-Up verification endpoint, and the simulation endpoint itself (which must remain reachable to test the engine). For every intercepted request it: (i) extracts identity and context from x-ztca-* request headers; (ii) checks the device and location against the trusted registries; (iii) derives the required privilege from the HTTP method and path; (iv) calls ZTCAEngine.evaluateRisk() and ZTCAEngine.makeDecision(); (v) writes an audit entry; and (vi) enforces the resulting decision by either calling next() or returning a 403/401 response before the route handler runs.</w:t>
      </w:r>
    </w:p>
    <w:p>
      <w:pPr>
        <w:spacing w:after="100" w:before="200"/>
      </w:pPr>
      <w:r>
        <w:rPr>
          <w:rFonts w:ascii="Times New Roman" w:cs="Times New Roman" w:eastAsia="Times New Roman" w:hAnsi="Times New Roman"/>
          <w:b/>
          <w:bCs/>
          <w:i/>
          <w:iCs/>
          <w:sz w:val="19"/>
          <w:szCs w:val="19"/>
        </w:rPr>
        <w:t xml:space="preserve">E. Data and Audit Layer</w:t>
      </w:r>
    </w:p>
    <w:p>
      <w:pPr>
        <w:spacing w:after="140" w:line="264"/>
        <w:jc w:val="both"/>
      </w:pPr>
      <w:r>
        <w:rPr>
          <w:rFonts w:ascii="Times New Roman" w:cs="Times New Roman" w:eastAsia="Times New Roman" w:hAnsi="Times New Roman"/>
          <w:sz w:val="19"/>
          <w:szCs w:val="19"/>
        </w:rPr>
        <w:t xml:space="preserve">Every decision — whether from genuine traffic or from the administrator-facing simulation tool — is persisted through a JSONStore&lt;T&gt; abstraction to backend/data/ztcaAuditLogs.json, forming an append-only, timestamped audit trail that includes the full request context, the risk factor breakdown, and the final decision. This audit layer is the single source of truth consumed by both the Security Admin Panel and the Trust Center described in Sections IX and X.</w:t>
      </w:r>
    </w:p>
    <w:p>
      <w:pPr>
        <w:spacing w:after="160" w:before="280"/>
        <w:jc w:val="center"/>
      </w:pPr>
      <w:r>
        <w:rPr>
          <w:rFonts w:ascii="Times New Roman" w:cs="Times New Roman" w:eastAsia="Times New Roman" w:hAnsi="Times New Roman"/>
          <w:b/>
          <w:bCs/>
          <w:sz w:val="20"/>
          <w:szCs w:val="20"/>
        </w:rPr>
        <w:t xml:space="preserve">IV. IDENTITY, ROLES, AND CONTEXT MODEL</w:t>
      </w:r>
    </w:p>
    <w:p>
      <w:pPr>
        <w:spacing w:after="100" w:before="200"/>
      </w:pPr>
      <w:r>
        <w:rPr>
          <w:rFonts w:ascii="Times New Roman" w:cs="Times New Roman" w:eastAsia="Times New Roman" w:hAnsi="Times New Roman"/>
          <w:b/>
          <w:bCs/>
          <w:i/>
          <w:iCs/>
          <w:sz w:val="19"/>
          <w:szCs w:val="19"/>
        </w:rPr>
        <w:t xml:space="preserve">A. Role Segmentation</w:t>
      </w:r>
    </w:p>
    <w:p>
      <w:pPr>
        <w:spacing w:after="140" w:line="264"/>
        <w:jc w:val="both"/>
      </w:pPr>
      <w:r>
        <w:rPr>
          <w:rFonts w:ascii="Times New Roman" w:cs="Times New Roman" w:eastAsia="Times New Roman" w:hAnsi="Times New Roman"/>
          <w:sz w:val="19"/>
          <w:szCs w:val="19"/>
        </w:rPr>
        <w:t xml:space="preserve">The backend type system defines six distinct user roles, each carrying a different default operational scope.</w:t>
      </w:r>
    </w:p>
    <w:p>
      <w:pPr>
        <w:spacing w:after="100" w:before="220"/>
        <w:jc w:val="center"/>
      </w:pPr>
      <w:r>
        <w:rPr>
          <w:rFonts w:ascii="Times New Roman" w:cs="Times New Roman" w:eastAsia="Times New Roman" w:hAnsi="Times New Roman"/>
          <w:sz w:val="17"/>
          <w:szCs w:val="17"/>
        </w:rPr>
        <w:t xml:space="preserve">TABLE I</w:t>
      </w:r>
      <w:r>
        <w:rPr>
          <w:rFonts w:ascii="Times New Roman" w:cs="Times New Roman" w:eastAsia="Times New Roman" w:hAnsi="Times New Roman"/>
          <w:sz w:val="17"/>
          <w:szCs w:val="17"/>
        </w:rPr>
        <w:t xml:space="preserve">  DEFINED USER ROLES</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200"/>
        <w:gridCol w:w="3660"/>
      </w:tblGrid>
      <w:tr>
        <w:trPr>
          <w:cantSplit/>
          <w:tblHeader/>
        </w:trPr>
        <w:tc>
          <w:tcPr>
            <w:tcW w:type="dxa" w:w="1200"/>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6"/>
                <w:szCs w:val="16"/>
              </w:rPr>
              <w:t xml:space="preserve">Role</w:t>
            </w:r>
          </w:p>
        </w:tc>
        <w:tc>
          <w:tcPr>
            <w:tcW w:type="dxa" w:w="3660"/>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6"/>
                <w:szCs w:val="16"/>
              </w:rPr>
              <w:t xml:space="preserve">Intended Scope</w:t>
            </w:r>
          </w:p>
        </w:tc>
      </w:tr>
      <w:tr>
        <w:trPr>
          <w:cantSplit/>
        </w:trPr>
        <w:tc>
          <w:tcPr>
            <w:tcW w:type="dxa" w:w="1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Admin</w:t>
            </w:r>
          </w:p>
        </w:tc>
        <w:tc>
          <w:tcPr>
            <w:tcW w:type="dxa" w:w="366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Full platform control; security policies, audit logs, and device trust management</w:t>
            </w:r>
          </w:p>
        </w:tc>
      </w:tr>
      <w:tr>
        <w:trPr>
          <w:cantSplit/>
        </w:trPr>
        <w:tc>
          <w:tcPr>
            <w:tcW w:type="dxa" w:w="1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Fleet Manager</w:t>
            </w:r>
          </w:p>
        </w:tc>
        <w:tc>
          <w:tcPr>
            <w:tcW w:type="dxa" w:w="366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Vehicle records, dispatch scheduling, driver allocation</w:t>
            </w:r>
          </w:p>
        </w:tc>
      </w:tr>
      <w:tr>
        <w:trPr>
          <w:cantSplit/>
        </w:trPr>
        <w:tc>
          <w:tcPr>
            <w:tcW w:type="dxa" w:w="1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Driver</w:t>
            </w:r>
          </w:p>
        </w:tc>
        <w:tc>
          <w:tcPr>
            <w:tcW w:type="dxa" w:w="366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Assigned trip status updates, personal driving metrics, fuel logs</w:t>
            </w:r>
          </w:p>
        </w:tc>
      </w:tr>
      <w:tr>
        <w:trPr>
          <w:cantSplit/>
        </w:trPr>
        <w:tc>
          <w:tcPr>
            <w:tcW w:type="dxa" w:w="1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Safety Officer</w:t>
            </w:r>
          </w:p>
        </w:tc>
        <w:tc>
          <w:tcPr>
            <w:tcW w:type="dxa" w:w="366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Driver licenses, compliance scores, maintenance tickets</w:t>
            </w:r>
          </w:p>
        </w:tc>
      </w:tr>
      <w:tr>
        <w:trPr>
          <w:cantSplit/>
        </w:trPr>
        <w:tc>
          <w:tcPr>
            <w:tcW w:type="dxa" w:w="1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Financial Analyst</w:t>
            </w:r>
          </w:p>
        </w:tc>
        <w:tc>
          <w:tcPr>
            <w:tcW w:type="dxa" w:w="366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Operating expenses, fuel economy, capital cost visibility</w:t>
            </w:r>
          </w:p>
        </w:tc>
      </w:tr>
      <w:tr>
        <w:trPr>
          <w:cantSplit/>
        </w:trPr>
        <w:tc>
          <w:tcPr>
            <w:tcW w:type="dxa" w:w="1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System</w:t>
            </w:r>
          </w:p>
        </w:tc>
        <w:tc>
          <w:tcPr>
            <w:tcW w:type="dxa" w:w="366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Automated batch triggers and audit-logging actor identity</w:t>
            </w:r>
          </w:p>
        </w:tc>
      </w:tr>
    </w:tbl>
    <w:p>
      <w:pPr>
        <w:spacing w:before="200"/>
      </w:pP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4860"/>
      </w:tblGrid>
      <w:tr>
        <w:trPr>
          <w:trHeight w:val="1900" w:hRule="atLeast"/>
        </w:trPr>
        <w:tc>
          <w:tcPr>
            <w:tcW w:type="dxa" w:w="4860"/>
            <w:tcBorders>
              <w:top w:val="dashed" w:color="808080" w:sz="6"/>
              <w:left w:val="dashed" w:color="808080" w:sz="6"/>
              <w:bottom w:val="dashed" w:color="808080" w:sz="6"/>
              <w:right w:val="dashed" w:color="808080" w:sz="6"/>
            </w:tcBorders>
            <w:shd w:fill="F2F2F2" w:val="clear"/>
            <w:tcMar>
              <w:top w:type="dxa" w:w="200"/>
              <w:left w:type="dxa" w:w="260"/>
              <w:bottom w:type="dxa" w:w="200"/>
              <w:right w:type="dxa" w:w="260"/>
            </w:tcMar>
            <w:vAlign w:val="center"/>
          </w:tcPr>
          <w:p>
            <w:pPr>
              <w:spacing w:after="80"/>
              <w:jc w:val="center"/>
            </w:pPr>
            <w:r>
              <w:rPr>
                <w:rFonts w:ascii="Times New Roman" w:cs="Times New Roman" w:eastAsia="Times New Roman" w:hAnsi="Times New Roman"/>
                <w:b/>
                <w:bCs/>
                <w:i/>
                <w:iCs/>
                <w:color w:val="595959"/>
                <w:sz w:val="16"/>
                <w:szCs w:val="16"/>
              </w:rPr>
              <w:t xml:space="preserve">[ SCREENSHOT / DIAGRAM SPACE — NOT YET INSERTED ]</w:t>
            </w:r>
          </w:p>
          <w:p>
            <w:pPr>
              <w:jc w:val="center"/>
            </w:pPr>
            <w:r>
              <w:rPr>
                <w:rFonts w:ascii="Times New Roman" w:cs="Times New Roman" w:eastAsia="Times New Roman" w:hAnsi="Times New Roman"/>
                <w:i/>
                <w:iCs/>
                <w:color w:val="404040"/>
                <w:sz w:val="16"/>
                <w:szCs w:val="16"/>
              </w:rPr>
              <w:t xml:space="preserve">Place here: a screenshot of the TransitOps role-selector sign-in screen showing the six preset identities (Admin, Fleet Manager ×2, Driver ×2, Safety Officer, Financial Analyst) used to generate role-differentiated traffic.</w:t>
            </w:r>
          </w:p>
        </w:tc>
      </w:tr>
    </w:tbl>
    <w:p>
      <w:pPr>
        <w:spacing w:after="200" w:before="80"/>
        <w:jc w:val="center"/>
      </w:pPr>
      <w:r>
        <w:rPr>
          <w:rFonts w:ascii="Times New Roman" w:cs="Times New Roman" w:eastAsia="Times New Roman" w:hAnsi="Times New Roman"/>
          <w:sz w:val="16"/>
          <w:szCs w:val="16"/>
        </w:rPr>
        <w:t xml:space="preserve">Fig. 2. Multi-role sign-in used to generate realistic, role-differentiated API traffic for the engine to evaluate.</w:t>
      </w:r>
    </w:p>
    <w:p>
      <w:pPr>
        <w:spacing w:after="100" w:before="200"/>
      </w:pPr>
      <w:r>
        <w:rPr>
          <w:rFonts w:ascii="Times New Roman" w:cs="Times New Roman" w:eastAsia="Times New Roman" w:hAnsi="Times New Roman"/>
          <w:b/>
          <w:bCs/>
          <w:i/>
          <w:iCs/>
          <w:sz w:val="19"/>
          <w:szCs w:val="19"/>
        </w:rPr>
        <w:t xml:space="preserve">B. Context Collection</w:t>
      </w:r>
    </w:p>
    <w:p>
      <w:pPr>
        <w:spacing w:after="140" w:line="264"/>
        <w:jc w:val="both"/>
      </w:pPr>
      <w:r>
        <w:rPr>
          <w:rFonts w:ascii="Times New Roman" w:cs="Times New Roman" w:eastAsia="Times New Roman" w:hAnsi="Times New Roman"/>
          <w:sz w:val="19"/>
          <w:szCs w:val="19"/>
        </w:rPr>
        <w:t xml:space="preserve">On every protected call, the middleware reads a fixed set of ZTCA context headers: x-ztca-user-id/name/email/role for identity; x-ztca-device-id/browser/os for device posture; x-ztca-lat/lng/city/country for geolocation; x-ztca-is-odd-hours for a client-declared temporal flag (falling back to a server-side 23:00–05:00 check when absent); x-ztca-session-revoked / x-ztca-session-state for continuous session validity; and x-ztca-stepup-token for a completed MFA challenge. Because this collection happens on every request rather than only at login, the system can detect that request forty in a session no longer resembles request one, even though both carry the same underlying credential.</w:t>
      </w:r>
    </w:p>
    <w:p>
      <w:pPr>
        <w:spacing w:after="160" w:before="280"/>
        <w:jc w:val="center"/>
      </w:pPr>
      <w:r>
        <w:rPr>
          <w:rFonts w:ascii="Times New Roman" w:cs="Times New Roman" w:eastAsia="Times New Roman" w:hAnsi="Times New Roman"/>
          <w:b/>
          <w:bCs/>
          <w:sz w:val="20"/>
          <w:szCs w:val="20"/>
        </w:rPr>
        <w:t xml:space="preserve">V. RISK ENGINE — CONTINUOUS CONTEXTUAL SCORING</w:t>
      </w:r>
    </w:p>
    <w:p>
      <w:pPr>
        <w:spacing w:after="140" w:line="264"/>
        <w:jc w:val="both"/>
      </w:pPr>
      <w:r>
        <w:rPr>
          <w:rFonts w:ascii="Times New Roman" w:cs="Times New Roman" w:eastAsia="Times New Roman" w:hAnsi="Times New Roman"/>
          <w:sz w:val="19"/>
          <w:szCs w:val="19"/>
        </w:rPr>
        <w:t xml:space="preserve">The ZTCAEngine.evaluateRisk() method converts the collected context into a deterministic, additive 0–100 score. Each contributing factor is independently named and explainable, which was a deliberate design choice over an opaque model: an administrator inspecting a BLOCK decision in the audit trail can see precisely which named rule fired and why.</w:t>
      </w:r>
    </w:p>
    <w:p>
      <w:pPr>
        <w:spacing w:after="100" w:before="220"/>
        <w:jc w:val="center"/>
      </w:pPr>
      <w:r>
        <w:rPr>
          <w:rFonts w:ascii="Times New Roman" w:cs="Times New Roman" w:eastAsia="Times New Roman" w:hAnsi="Times New Roman"/>
          <w:sz w:val="17"/>
          <w:szCs w:val="17"/>
        </w:rPr>
        <w:t xml:space="preserve">TABLE II</w:t>
      </w:r>
      <w:r>
        <w:rPr>
          <w:rFonts w:ascii="Times New Roman" w:cs="Times New Roman" w:eastAsia="Times New Roman" w:hAnsi="Times New Roman"/>
          <w:sz w:val="17"/>
          <w:szCs w:val="17"/>
        </w:rPr>
        <w:t xml:space="preserve">  WEIGHTED RISK FACTORS IMPLEMENTED IN THE ENGINE</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460"/>
      </w:tblGrid>
      <w:tr>
        <w:trPr>
          <w:cantSplit/>
          <w:tblHeader/>
        </w:trPr>
        <w:tc>
          <w:tcPr>
            <w:tcW w:type="dxa" w:w="2500"/>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6"/>
                <w:szCs w:val="16"/>
              </w:rPr>
              <w:t xml:space="preserve">Risk Factor (Rule ID)</w:t>
            </w:r>
          </w:p>
        </w:tc>
        <w:tc>
          <w:tcPr>
            <w:tcW w:type="dxa" w:w="900"/>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6"/>
                <w:szCs w:val="16"/>
              </w:rPr>
              <w:t xml:space="preserve">Weight</w:t>
            </w:r>
          </w:p>
        </w:tc>
        <w:tc>
          <w:tcPr>
            <w:tcW w:type="dxa" w:w="1460"/>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6"/>
                <w:szCs w:val="16"/>
              </w:rPr>
              <w:t xml:space="preserve">Trigger Condition</w:t>
            </w:r>
          </w:p>
        </w:tc>
      </w:tr>
      <w:tr>
        <w:trPr>
          <w:cantSplit/>
        </w:trPr>
        <w:tc>
          <w:tcPr>
            <w:tcW w:type="dxa" w:w="25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Unrecognized device (rf_unknown_device)</w:t>
            </w:r>
          </w:p>
        </w:tc>
        <w:tc>
          <w:tcPr>
            <w:tcW w:type="dxa" w:w="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+25</w:t>
            </w:r>
          </w:p>
        </w:tc>
        <w:tc>
          <w:tcPr>
            <w:tcW w:type="dxa" w:w="146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Device ID absent from the trusted device registry</w:t>
            </w:r>
          </w:p>
        </w:tc>
      </w:tr>
      <w:tr>
        <w:trPr>
          <w:cantSplit/>
        </w:trPr>
        <w:tc>
          <w:tcPr>
            <w:tcW w:type="dxa" w:w="25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Geographic anomaly (rf_location_anomaly)</w:t>
            </w:r>
          </w:p>
        </w:tc>
        <w:tc>
          <w:tcPr>
            <w:tcW w:type="dxa" w:w="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+20</w:t>
            </w:r>
          </w:p>
        </w:tc>
        <w:tc>
          <w:tcPr>
            <w:tcW w:type="dxa" w:w="146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Request city outside the user's known locations</w:t>
            </w:r>
          </w:p>
        </w:tc>
      </w:tr>
      <w:tr>
        <w:trPr>
          <w:cantSplit/>
        </w:trPr>
        <w:tc>
          <w:tcPr>
            <w:tcW w:type="dxa" w:w="25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Off-hours window (rf_odd_hours)</w:t>
            </w:r>
          </w:p>
        </w:tc>
        <w:tc>
          <w:tcPr>
            <w:tcW w:type="dxa" w:w="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+15</w:t>
            </w:r>
          </w:p>
        </w:tc>
        <w:tc>
          <w:tcPr>
            <w:tcW w:type="dxa" w:w="146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Request timestamp between 23:00 and 05:00</w:t>
            </w:r>
          </w:p>
        </w:tc>
      </w:tr>
      <w:tr>
        <w:trPr>
          <w:cantSplit/>
        </w:trPr>
        <w:tc>
          <w:tcPr>
            <w:tcW w:type="dxa" w:w="25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Admin route sensitivity (rf_admin_endpoint)</w:t>
            </w:r>
          </w:p>
        </w:tc>
        <w:tc>
          <w:tcPr>
            <w:tcW w:type="dxa" w:w="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+30</w:t>
            </w:r>
          </w:p>
        </w:tc>
        <w:tc>
          <w:tcPr>
            <w:tcW w:type="dxa" w:w="146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Endpoint begins with /api/admin</w:t>
            </w:r>
          </w:p>
        </w:tc>
      </w:tr>
      <w:tr>
        <w:trPr>
          <w:cantSplit/>
        </w:trPr>
        <w:tc>
          <w:tcPr>
            <w:tcW w:type="dxa" w:w="25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Dispatch sensitivity (rf_dispatch_sensitivity)</w:t>
            </w:r>
          </w:p>
        </w:tc>
        <w:tc>
          <w:tcPr>
            <w:tcW w:type="dxa" w:w="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+20</w:t>
            </w:r>
          </w:p>
        </w:tc>
        <w:tc>
          <w:tcPr>
            <w:tcW w:type="dxa" w:w="146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Write method on a /trips endpoint</w:t>
            </w:r>
          </w:p>
        </w:tc>
      </w:tr>
      <w:tr>
        <w:trPr>
          <w:cantSplit/>
        </w:trPr>
        <w:tc>
          <w:tcPr>
            <w:tcW w:type="dxa" w:w="25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Fleet-entity sensitivity (rf_fleet_mod_sensitivity)</w:t>
            </w:r>
          </w:p>
        </w:tc>
        <w:tc>
          <w:tcPr>
            <w:tcW w:type="dxa" w:w="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+20</w:t>
            </w:r>
          </w:p>
        </w:tc>
        <w:tc>
          <w:tcPr>
            <w:tcW w:type="dxa" w:w="146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Write method on /vehicles or /drivers</w:t>
            </w:r>
          </w:p>
        </w:tc>
      </w:tr>
      <w:tr>
        <w:trPr>
          <w:cantSplit/>
        </w:trPr>
        <w:tc>
          <w:tcPr>
            <w:tcW w:type="dxa" w:w="25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Financial sensitivity (rf_expense_sensitivity)</w:t>
            </w:r>
          </w:p>
        </w:tc>
        <w:tc>
          <w:tcPr>
            <w:tcW w:type="dxa" w:w="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+15</w:t>
            </w:r>
          </w:p>
        </w:tc>
        <w:tc>
          <w:tcPr>
            <w:tcW w:type="dxa" w:w="146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Write method on /expenses</w:t>
            </w:r>
          </w:p>
        </w:tc>
      </w:tr>
      <w:tr>
        <w:trPr>
          <w:cantSplit/>
        </w:trPr>
        <w:tc>
          <w:tcPr>
            <w:tcW w:type="dxa" w:w="25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Privilege mismatch (rf_privilege_mismatch)</w:t>
            </w:r>
          </w:p>
        </w:tc>
        <w:tc>
          <w:tcPr>
            <w:tcW w:type="dxa" w:w="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+25</w:t>
            </w:r>
          </w:p>
        </w:tc>
        <w:tc>
          <w:tcPr>
            <w:tcW w:type="dxa" w:w="146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Driver role requesting a non-read privilege</w:t>
            </w:r>
          </w:p>
        </w:tc>
      </w:tr>
      <w:tr>
        <w:trPr>
          <w:cantSplit/>
        </w:trPr>
        <w:tc>
          <w:tcPr>
            <w:tcW w:type="dxa" w:w="25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Step-up credit (rf_mfa_verified)</w:t>
            </w:r>
          </w:p>
        </w:tc>
        <w:tc>
          <w:tcPr>
            <w:tcW w:type="dxa" w:w="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−30</w:t>
            </w:r>
          </w:p>
        </w:tc>
        <w:tc>
          <w:tcPr>
            <w:tcW w:type="dxa" w:w="146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Valid STEPUP_VALID token present on the request</w:t>
            </w:r>
          </w:p>
        </w:tc>
      </w:tr>
    </w:tbl>
    <w:p>
      <w:pPr>
        <w:spacing w:after="140" w:line="264"/>
        <w:jc w:val="both"/>
      </w:pPr>
      <w:r>
        <w:rPr>
          <w:rFonts w:ascii="Times New Roman" w:cs="Times New Roman" w:eastAsia="Times New Roman" w:hAnsi="Times New Roman"/>
          <w:sz w:val="19"/>
          <w:szCs w:val="19"/>
        </w:rPr>
        <w:t xml:space="preserve">Factors are cumulative and can compound quickly: an unrecognized device (+25) combined with a geographic anomaly (+20) and an off-hours dispatch attempt (+20 sensitivity, +15 off-hours) already reaches 80/100 before any policy is even consulted. The total is clamped to the 0–100 range and mapped to one of four named risk levels — LOW below 30, MEDIUM from 30 to 54, HIGH from 55 to 74, and CRITICAL from 75 upward — which are surfaced directly in the audit log and the Admin Panel's KPI cards.</w:t>
      </w:r>
    </w:p>
    <w:p>
      <w:pPr>
        <w:spacing w:before="200"/>
      </w:pP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4860"/>
      </w:tblGrid>
      <w:tr>
        <w:trPr>
          <w:trHeight w:val="1900" w:hRule="atLeast"/>
        </w:trPr>
        <w:tc>
          <w:tcPr>
            <w:tcW w:type="dxa" w:w="4860"/>
            <w:tcBorders>
              <w:top w:val="dashed" w:color="808080" w:sz="6"/>
              <w:left w:val="dashed" w:color="808080" w:sz="6"/>
              <w:bottom w:val="dashed" w:color="808080" w:sz="6"/>
              <w:right w:val="dashed" w:color="808080" w:sz="6"/>
            </w:tcBorders>
            <w:shd w:fill="F2F2F2" w:val="clear"/>
            <w:tcMar>
              <w:top w:type="dxa" w:w="200"/>
              <w:left w:type="dxa" w:w="260"/>
              <w:bottom w:type="dxa" w:w="200"/>
              <w:right w:type="dxa" w:w="260"/>
            </w:tcMar>
            <w:vAlign w:val="center"/>
          </w:tcPr>
          <w:p>
            <w:pPr>
              <w:spacing w:after="80"/>
              <w:jc w:val="center"/>
            </w:pPr>
            <w:r>
              <w:rPr>
                <w:rFonts w:ascii="Times New Roman" w:cs="Times New Roman" w:eastAsia="Times New Roman" w:hAnsi="Times New Roman"/>
                <w:b/>
                <w:bCs/>
                <w:i/>
                <w:iCs/>
                <w:color w:val="595959"/>
                <w:sz w:val="16"/>
                <w:szCs w:val="16"/>
              </w:rPr>
              <w:t xml:space="preserve">[ SCREENSHOT / DIAGRAM SPACE — NOT YET INSERTED ]</w:t>
            </w:r>
          </w:p>
          <w:p>
            <w:pPr>
              <w:jc w:val="center"/>
            </w:pPr>
            <w:r>
              <w:rPr>
                <w:rFonts w:ascii="Times New Roman" w:cs="Times New Roman" w:eastAsia="Times New Roman" w:hAnsi="Times New Roman"/>
                <w:i/>
                <w:iCs/>
                <w:color w:val="404040"/>
                <w:sz w:val="16"/>
                <w:szCs w:val="16"/>
              </w:rPr>
              <w:t xml:space="preserve">Place here: a screenshot of the ZTCAContextWidget simulation control panel, showing device, location, and time-window dropdowns plus the live 0–100 risk preview before a request is actually sent.</w:t>
            </w:r>
          </w:p>
        </w:tc>
      </w:tr>
    </w:tbl>
    <w:p>
      <w:pPr>
        <w:spacing w:after="200" w:before="80"/>
        <w:jc w:val="center"/>
      </w:pPr>
      <w:r>
        <w:rPr>
          <w:rFonts w:ascii="Times New Roman" w:cs="Times New Roman" w:eastAsia="Times New Roman" w:hAnsi="Times New Roman"/>
          <w:sz w:val="16"/>
          <w:szCs w:val="16"/>
        </w:rPr>
        <w:t xml:space="preserve">Fig. 3. Interactive context-simulation widget used to rehearse risk scenarios before they are submitted as real requests.</w:t>
      </w:r>
    </w:p>
    <w:p>
      <w:pPr>
        <w:spacing w:after="160" w:before="280"/>
        <w:jc w:val="center"/>
      </w:pPr>
      <w:r>
        <w:rPr>
          <w:rFonts w:ascii="Times New Roman" w:cs="Times New Roman" w:eastAsia="Times New Roman" w:hAnsi="Times New Roman"/>
          <w:b/>
          <w:bCs/>
          <w:sz w:val="20"/>
          <w:szCs w:val="20"/>
        </w:rPr>
        <w:t xml:space="preserve">VI. THE SEVEN ZTCA POLICIES — VERIFY, CONTROL, ENFORCE</w:t>
      </w:r>
    </w:p>
    <w:p>
      <w:pPr>
        <w:spacing w:after="140" w:line="264"/>
        <w:jc w:val="both"/>
      </w:pPr>
      <w:r>
        <w:rPr>
          <w:rFonts w:ascii="Times New Roman" w:cs="Times New Roman" w:eastAsia="Times New Roman" w:hAnsi="Times New Roman"/>
          <w:sz w:val="19"/>
          <w:szCs w:val="19"/>
        </w:rPr>
        <w:t xml:space="preserve">TransitOps organizes its Zero Trust enforcement into three functional sections — Verify, Control, and Enforce — spanning seven elements in total, all of which are actively evaluated by the deployed engine rather than described only in documentation.</w:t>
      </w:r>
    </w:p>
    <w:p>
      <w:pPr>
        <w:spacing w:after="100" w:before="200"/>
      </w:pPr>
      <w:r>
        <w:rPr>
          <w:rFonts w:ascii="Times New Roman" w:cs="Times New Roman" w:eastAsia="Times New Roman" w:hAnsi="Times New Roman"/>
          <w:b/>
          <w:bCs/>
          <w:i/>
          <w:iCs/>
          <w:sz w:val="19"/>
          <w:szCs w:val="19"/>
        </w:rPr>
        <w:t xml:space="preserve">A. Section 1 — Verify (Elements 1–3)</w:t>
      </w:r>
    </w:p>
    <w:p>
      <w:pPr>
        <w:spacing w:after="60"/>
        <w:ind w:left="300" w:hanging="200"/>
      </w:pPr>
      <w:r>
        <w:rPr>
          <w:rFonts w:ascii="Times New Roman" w:cs="Times New Roman" w:eastAsia="Times New Roman" w:hAnsi="Times New Roman"/>
          <w:sz w:val="19"/>
          <w:szCs w:val="19"/>
        </w:rPr>
        <w:t xml:space="preserve">•  Element 1 — Who is connecting: identity, role, and session state are authenticated on every request via the x-ztca-user-* headers and validated against the six-role identity model of Section IV-A.</w:t>
      </w:r>
    </w:p>
    <w:p>
      <w:pPr>
        <w:spacing w:after="60"/>
        <w:ind w:left="300" w:hanging="200"/>
      </w:pPr>
      <w:r>
        <w:rPr>
          <w:rFonts w:ascii="Times New Roman" w:cs="Times New Roman" w:eastAsia="Times New Roman" w:hAnsi="Times New Roman"/>
          <w:sz w:val="19"/>
          <w:szCs w:val="19"/>
        </w:rPr>
        <w:t xml:space="preserve">•  Element 2 — What are the attributes: device fingerprint, geolocation, and temporal window are evaluated against the trusted device and location registries described in Section V.</w:t>
      </w:r>
    </w:p>
    <w:p>
      <w:pPr>
        <w:spacing w:after="60"/>
        <w:ind w:left="300" w:hanging="200"/>
      </w:pPr>
      <w:r>
        <w:rPr>
          <w:rFonts w:ascii="Times New Roman" w:cs="Times New Roman" w:eastAsia="Times New Roman" w:hAnsi="Times New Roman"/>
          <w:sz w:val="19"/>
          <w:szCs w:val="19"/>
        </w:rPr>
        <w:t xml:space="preserve">•  Element 3 — Where is the connection going: the middleware dynamically derives a Required Privilege (READ_OPERATIONS, WRITE_VEHICLES, WRITE_DRIVERS, DISPATCH_TRIP, MANAGE_EXPENSES, or ADMIN_POLICIES) from the HTTP method and path rather than relying on a static access-control list.</w:t>
      </w:r>
    </w:p>
    <w:p>
      <w:pPr>
        <w:spacing w:after="100" w:before="200"/>
      </w:pPr>
      <w:r>
        <w:rPr>
          <w:rFonts w:ascii="Times New Roman" w:cs="Times New Roman" w:eastAsia="Times New Roman" w:hAnsi="Times New Roman"/>
          <w:b/>
          <w:bCs/>
          <w:i/>
          <w:iCs/>
          <w:sz w:val="19"/>
          <w:szCs w:val="19"/>
        </w:rPr>
        <w:t xml:space="preserve">B. Section 2 — Control (Elements 4–6)</w:t>
      </w:r>
    </w:p>
    <w:p>
      <w:pPr>
        <w:spacing w:after="60"/>
        <w:ind w:left="300" w:hanging="200"/>
      </w:pPr>
      <w:r>
        <w:rPr>
          <w:rFonts w:ascii="Times New Roman" w:cs="Times New Roman" w:eastAsia="Times New Roman" w:hAnsi="Times New Roman"/>
          <w:sz w:val="19"/>
          <w:szCs w:val="19"/>
        </w:rPr>
        <w:t xml:space="preserve">•  Element 4 — Assess risk using context: the weighted 0–100 engine of Section V continuously scores every request.</w:t>
      </w:r>
    </w:p>
    <w:p>
      <w:pPr>
        <w:spacing w:after="60"/>
        <w:ind w:left="300" w:hanging="200"/>
      </w:pPr>
      <w:r>
        <w:rPr>
          <w:rFonts w:ascii="Times New Roman" w:cs="Times New Roman" w:eastAsia="Times New Roman" w:hAnsi="Times New Roman"/>
          <w:sz w:val="19"/>
          <w:szCs w:val="19"/>
        </w:rPr>
        <w:t xml:space="preserve">•  Element 5 — Prevent compromise: Step-Up MFA challenges, rogue-device isolation, and a universal critical-risk interceptor stop high-risk sessions before they reach protected data (Section VIII).</w:t>
      </w:r>
    </w:p>
    <w:p>
      <w:pPr>
        <w:spacing w:after="60"/>
        <w:ind w:left="300" w:hanging="200"/>
      </w:pPr>
      <w:r>
        <w:rPr>
          <w:rFonts w:ascii="Times New Roman" w:cs="Times New Roman" w:eastAsia="Times New Roman" w:hAnsi="Times New Roman"/>
          <w:sz w:val="19"/>
          <w:szCs w:val="19"/>
        </w:rPr>
        <w:t xml:space="preserve">•  Element 6 — Prevent data loss: high-risk financial write operations are transparently downgraded to read-only rather than executed or silently dropped.</w:t>
      </w:r>
    </w:p>
    <w:p>
      <w:pPr>
        <w:spacing w:after="100" w:before="200"/>
      </w:pPr>
      <w:r>
        <w:rPr>
          <w:rFonts w:ascii="Times New Roman" w:cs="Times New Roman" w:eastAsia="Times New Roman" w:hAnsi="Times New Roman"/>
          <w:b/>
          <w:bCs/>
          <w:i/>
          <w:iCs/>
          <w:sz w:val="19"/>
          <w:szCs w:val="19"/>
        </w:rPr>
        <w:t xml:space="preserve">C. Section 3 — Enforce (Element 7)</w:t>
      </w:r>
    </w:p>
    <w:p>
      <w:pPr>
        <w:spacing w:after="60"/>
        <w:ind w:left="300" w:hanging="200"/>
      </w:pPr>
      <w:r>
        <w:rPr>
          <w:rFonts w:ascii="Times New Roman" w:cs="Times New Roman" w:eastAsia="Times New Roman" w:hAnsi="Times New Roman"/>
          <w:sz w:val="19"/>
          <w:szCs w:val="19"/>
        </w:rPr>
        <w:t xml:space="preserve">•  Element 7 — Enforce policy: the Policy Decision Point resolves every request to exactly one of ALLOW, STEP_UP, READ_ONLY, or BLOCK, and every resolution — including simulated ones — is written to the immutable audit trail described in Section IX.</w:t>
      </w:r>
    </w:p>
    <w:p>
      <w:pPr>
        <w:spacing w:after="140" w:line="264"/>
        <w:jc w:val="both"/>
      </w:pPr>
      <w:r>
        <w:rPr>
          <w:rFonts w:ascii="Times New Roman" w:cs="Times New Roman" w:eastAsia="Times New Roman" w:hAnsi="Times New Roman"/>
          <w:sz w:val="19"/>
          <w:szCs w:val="19"/>
        </w:rPr>
        <w:t xml:space="preserve">Table III enumerates the seven concrete policies behind these elements exactly as implemented in the engine: five are configurable, JSON-backed rules editable from the Admin Panel without a redeploy, and two are mandatory guard rules hardcoded directly into ZTCAEngine.makeDecision() and evaluated before any configurable policy is even consulted.</w:t>
      </w:r>
    </w:p>
    <w:p>
      <w:pPr>
        <w:spacing w:after="100" w:before="220"/>
        <w:jc w:val="center"/>
      </w:pPr>
      <w:r>
        <w:rPr>
          <w:rFonts w:ascii="Times New Roman" w:cs="Times New Roman" w:eastAsia="Times New Roman" w:hAnsi="Times New Roman"/>
          <w:sz w:val="17"/>
          <w:szCs w:val="17"/>
        </w:rPr>
        <w:t xml:space="preserve">TABLE III</w:t>
      </w:r>
      <w:r>
        <w:rPr>
          <w:rFonts w:ascii="Times New Roman" w:cs="Times New Roman" w:eastAsia="Times New Roman" w:hAnsi="Times New Roman"/>
          <w:sz w:val="17"/>
          <w:szCs w:val="17"/>
        </w:rPr>
        <w:t xml:space="preserve">  ALL SEVEN IMPLEMENTED ZTCA POLICIES</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900"/>
        <w:gridCol w:w="1750"/>
        <w:gridCol w:w="1050"/>
        <w:gridCol w:w="1160"/>
      </w:tblGrid>
      <w:tr>
        <w:trPr>
          <w:cantSplit/>
          <w:tblHeader/>
        </w:trPr>
        <w:tc>
          <w:tcPr>
            <w:tcW w:type="dxa" w:w="900"/>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6"/>
                <w:szCs w:val="16"/>
              </w:rPr>
              <w:t xml:space="preserve">Policy ID</w:t>
            </w:r>
          </w:p>
        </w:tc>
        <w:tc>
          <w:tcPr>
            <w:tcW w:type="dxa" w:w="1750"/>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6"/>
                <w:szCs w:val="16"/>
              </w:rPr>
              <w:t xml:space="preserve">Trigger / Scope</w:t>
            </w:r>
          </w:p>
        </w:tc>
        <w:tc>
          <w:tcPr>
            <w:tcW w:type="dxa" w:w="1050"/>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6"/>
                <w:szCs w:val="16"/>
              </w:rPr>
              <w:t xml:space="preserve">Threshold</w:t>
            </w:r>
          </w:p>
        </w:tc>
        <w:tc>
          <w:tcPr>
            <w:tcW w:type="dxa" w:w="1160"/>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6"/>
                <w:szCs w:val="16"/>
              </w:rPr>
              <w:t xml:space="preserve">Action</w:t>
            </w:r>
          </w:p>
        </w:tc>
      </w:tr>
      <w:tr>
        <w:trPr>
          <w:cantSplit/>
        </w:trPr>
        <w:tc>
          <w:tcPr>
            <w:tcW w:type="dxa" w:w="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pol_1_admin_protection</w:t>
            </w:r>
          </w:p>
        </w:tc>
        <w:tc>
          <w:tcPr>
            <w:tcW w:type="dxa" w:w="17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Non-Admin role targeting /api/admin*; mandatory + risk-capped for all roles</w:t>
            </w:r>
          </w:p>
        </w:tc>
        <w:tc>
          <w:tcPr>
            <w:tcW w:type="dxa" w:w="10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Risk &gt; 30 (all roles); role check unconditional</w:t>
            </w:r>
          </w:p>
        </w:tc>
        <w:tc>
          <w:tcPr>
            <w:tcW w:type="dxa" w:w="116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BLOCK</w:t>
            </w:r>
          </w:p>
        </w:tc>
      </w:tr>
      <w:tr>
        <w:trPr>
          <w:cantSplit/>
        </w:trPr>
        <w:tc>
          <w:tcPr>
            <w:tcW w:type="dxa" w:w="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pol_2_dispatch_stepup</w:t>
            </w:r>
          </w:p>
        </w:tc>
        <w:tc>
          <w:tcPr>
            <w:tcW w:type="dxa" w:w="17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Write method on /api/trips from any role</w:t>
            </w:r>
          </w:p>
        </w:tc>
        <w:tc>
          <w:tcPr>
            <w:tcW w:type="dxa" w:w="10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Risk &gt; 40, known device required</w:t>
            </w:r>
          </w:p>
        </w:tc>
        <w:tc>
          <w:tcPr>
            <w:tcW w:type="dxa" w:w="116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STEP_UP</w:t>
            </w:r>
          </w:p>
        </w:tc>
      </w:tr>
      <w:tr>
        <w:trPr>
          <w:cantSplit/>
        </w:trPr>
        <w:tc>
          <w:tcPr>
            <w:tcW w:type="dxa" w:w="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pol_3_vehicle_driver_mod</w:t>
            </w:r>
          </w:p>
        </w:tc>
        <w:tc>
          <w:tcPr>
            <w:tcW w:type="dxa" w:w="17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Write method on /api/vehicles or /api/drivers</w:t>
            </w:r>
          </w:p>
        </w:tc>
        <w:tc>
          <w:tcPr>
            <w:tcW w:type="dxa" w:w="10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Risk &gt; 50, known device required</w:t>
            </w:r>
          </w:p>
        </w:tc>
        <w:tc>
          <w:tcPr>
            <w:tcW w:type="dxa" w:w="116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BLOCK</w:t>
            </w:r>
          </w:p>
        </w:tc>
      </w:tr>
      <w:tr>
        <w:trPr>
          <w:cantSplit/>
        </w:trPr>
        <w:tc>
          <w:tcPr>
            <w:tcW w:type="dxa" w:w="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pol_4_financial_readonly</w:t>
            </w:r>
          </w:p>
        </w:tc>
        <w:tc>
          <w:tcPr>
            <w:tcW w:type="dxa" w:w="17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Write method on /api/expenses</w:t>
            </w:r>
          </w:p>
        </w:tc>
        <w:tc>
          <w:tcPr>
            <w:tcW w:type="dxa" w:w="10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Risk &gt; 45</w:t>
            </w:r>
          </w:p>
        </w:tc>
        <w:tc>
          <w:tcPr>
            <w:tcW w:type="dxa" w:w="116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READ_ONLY</w:t>
            </w:r>
          </w:p>
        </w:tc>
      </w:tr>
      <w:tr>
        <w:trPr>
          <w:cantSplit/>
        </w:trPr>
        <w:tc>
          <w:tcPr>
            <w:tcW w:type="dxa" w:w="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pol_5_general_risk_cap</w:t>
            </w:r>
          </w:p>
        </w:tc>
        <w:tc>
          <w:tcPr>
            <w:tcW w:type="dxa" w:w="17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Any endpoint, any role (universal)</w:t>
            </w:r>
          </w:p>
        </w:tc>
        <w:tc>
          <w:tcPr>
            <w:tcW w:type="dxa" w:w="10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Risk ≥ 75 (Critical)</w:t>
            </w:r>
          </w:p>
        </w:tc>
        <w:tc>
          <w:tcPr>
            <w:tcW w:type="dxa" w:w="116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BLOCK</w:t>
            </w:r>
          </w:p>
        </w:tc>
      </w:tr>
      <w:tr>
        <w:trPr>
          <w:cantSplit/>
        </w:trPr>
        <w:tc>
          <w:tcPr>
            <w:tcW w:type="dxa" w:w="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pol_6_role_matrix</w:t>
            </w:r>
          </w:p>
        </w:tc>
        <w:tc>
          <w:tcPr>
            <w:tcW w:type="dxa" w:w="17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Requested privilege absent from the role's ROLE_ACCESS_MATRIX entry</w:t>
            </w:r>
          </w:p>
        </w:tc>
        <w:tc>
          <w:tcPr>
            <w:tcW w:type="dxa" w:w="10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Unconditional (mandatory)</w:t>
            </w:r>
          </w:p>
        </w:tc>
        <w:tc>
          <w:tcPr>
            <w:tcW w:type="dxa" w:w="116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BLOCK</w:t>
            </w:r>
          </w:p>
        </w:tc>
      </w:tr>
      <w:tr>
        <w:trPr>
          <w:cantSplit/>
        </w:trPr>
        <w:tc>
          <w:tcPr>
            <w:tcW w:type="dxa" w:w="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pol_7_session_revocation</w:t>
            </w:r>
          </w:p>
        </w:tc>
        <w:tc>
          <w:tcPr>
            <w:tcW w:type="dxa" w:w="17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Request carries a revoked-session header/state</w:t>
            </w:r>
          </w:p>
        </w:tc>
        <w:tc>
          <w:tcPr>
            <w:tcW w:type="dxa" w:w="10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Unconditional (mandatory)</w:t>
            </w:r>
          </w:p>
        </w:tc>
        <w:tc>
          <w:tcPr>
            <w:tcW w:type="dxa" w:w="116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BLOCK</w:t>
            </w:r>
          </w:p>
        </w:tc>
      </w:tr>
    </w:tbl>
    <w:p>
      <w:pPr>
        <w:spacing w:before="200"/>
      </w:pP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4860"/>
      </w:tblGrid>
      <w:tr>
        <w:trPr>
          <w:trHeight w:val="1900" w:hRule="atLeast"/>
        </w:trPr>
        <w:tc>
          <w:tcPr>
            <w:tcW w:type="dxa" w:w="4860"/>
            <w:tcBorders>
              <w:top w:val="dashed" w:color="808080" w:sz="6"/>
              <w:left w:val="dashed" w:color="808080" w:sz="6"/>
              <w:bottom w:val="dashed" w:color="808080" w:sz="6"/>
              <w:right w:val="dashed" w:color="808080" w:sz="6"/>
            </w:tcBorders>
            <w:shd w:fill="F2F2F2" w:val="clear"/>
            <w:tcMar>
              <w:top w:type="dxa" w:w="200"/>
              <w:left w:type="dxa" w:w="260"/>
              <w:bottom w:type="dxa" w:w="200"/>
              <w:right w:type="dxa" w:w="260"/>
            </w:tcMar>
            <w:vAlign w:val="center"/>
          </w:tcPr>
          <w:p>
            <w:pPr>
              <w:spacing w:after="80"/>
              <w:jc w:val="center"/>
            </w:pPr>
            <w:r>
              <w:rPr>
                <w:rFonts w:ascii="Times New Roman" w:cs="Times New Roman" w:eastAsia="Times New Roman" w:hAnsi="Times New Roman"/>
                <w:b/>
                <w:bCs/>
                <w:i/>
                <w:iCs/>
                <w:color w:val="595959"/>
                <w:sz w:val="16"/>
                <w:szCs w:val="16"/>
              </w:rPr>
              <w:t xml:space="preserve">[ SCREENSHOT / DIAGRAM SPACE — NOT YET INSERTED ]</w:t>
            </w:r>
          </w:p>
          <w:p>
            <w:pPr>
              <w:jc w:val="center"/>
            </w:pPr>
            <w:r>
              <w:rPr>
                <w:rFonts w:ascii="Times New Roman" w:cs="Times New Roman" w:eastAsia="Times New Roman" w:hAnsi="Times New Roman"/>
                <w:i/>
                <w:iCs/>
                <w:color w:val="404040"/>
                <w:sz w:val="16"/>
                <w:szCs w:val="16"/>
              </w:rPr>
              <w:t xml:space="preserve">Place here: a screenshot of the Admin Panel's Policy Configurator tab listing all five configurable policies with their enabled toggles, target endpoint patterns, and risk thresholds.</w:t>
            </w:r>
          </w:p>
        </w:tc>
      </w:tr>
    </w:tbl>
    <w:p>
      <w:pPr>
        <w:spacing w:after="200" w:before="80"/>
        <w:jc w:val="center"/>
      </w:pPr>
      <w:r>
        <w:rPr>
          <w:rFonts w:ascii="Times New Roman" w:cs="Times New Roman" w:eastAsia="Times New Roman" w:hAnsi="Times New Roman"/>
          <w:sz w:val="16"/>
          <w:szCs w:val="16"/>
        </w:rPr>
        <w:t xml:space="preserve">Fig. 4. Live Policy Configurator inside the Admin Panel, allowing risk thresholds to be edited without a server redeploy.</w:t>
      </w:r>
    </w:p>
    <w:p>
      <w:pPr>
        <w:spacing w:after="160" w:before="280"/>
        <w:jc w:val="center"/>
      </w:pPr>
      <w:r>
        <w:rPr>
          <w:rFonts w:ascii="Times New Roman" w:cs="Times New Roman" w:eastAsia="Times New Roman" w:hAnsi="Times New Roman"/>
          <w:b/>
          <w:bCs/>
          <w:sz w:val="20"/>
          <w:szCs w:val="20"/>
        </w:rPr>
        <w:t xml:space="preserve">VII. POLICY DECISION POINT LOGIC AND DECISION OUTCOMES</w:t>
      </w:r>
    </w:p>
    <w:p>
      <w:pPr>
        <w:spacing w:after="140" w:line="264"/>
        <w:jc w:val="both"/>
      </w:pPr>
      <w:r>
        <w:rPr>
          <w:rFonts w:ascii="Times New Roman" w:cs="Times New Roman" w:eastAsia="Times New Roman" w:hAnsi="Times New Roman"/>
          <w:sz w:val="19"/>
          <w:szCs w:val="19"/>
        </w:rPr>
        <w:t xml:space="preserve">The PDP evaluates policies in a strict, defense-in-depth order. The two mandatory rules (pol_6_role_matrix, pol_7_session_revocation) and the admin-lockdown check are evaluated first and short-circuit immediately on violation, before any configurable policy or risk-based fallback is consulted. The five configurable policies from Table III are then evaluated in sequence against the current risk score and context flags. If no configured policy is violated, a default fallback layer applies a final safety net: risk ≥ 80 forces BLOCK; risk ≥ 55 forces STEP_UP unless a valid Step-Up token is already present, in which case it resolves to ALLOW; risk ≥ 35 on a write method forces READ_ONLY; and anything else resolves to ALLOW. This layered structure means a request can be challenged or blocked even when it does not explicitly match any single named policy, closing gaps that a purely rule-matching system would otherwise miss.</w:t>
      </w:r>
    </w:p>
    <w:p>
      <w:pPr>
        <w:spacing w:after="100" w:before="220"/>
        <w:jc w:val="center"/>
      </w:pPr>
      <w:r>
        <w:rPr>
          <w:rFonts w:ascii="Times New Roman" w:cs="Times New Roman" w:eastAsia="Times New Roman" w:hAnsi="Times New Roman"/>
          <w:sz w:val="17"/>
          <w:szCs w:val="17"/>
        </w:rPr>
        <w:t xml:space="preserve">TABLE IV</w:t>
      </w:r>
      <w:r>
        <w:rPr>
          <w:rFonts w:ascii="Times New Roman" w:cs="Times New Roman" w:eastAsia="Times New Roman" w:hAnsi="Times New Roman"/>
          <w:sz w:val="17"/>
          <w:szCs w:val="17"/>
        </w:rPr>
        <w:t xml:space="preserve">  ZTCA DECISION OUTCOMES AND ENFORCEMENT BEHAVIOR</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900"/>
        <w:gridCol w:w="3960"/>
      </w:tblGrid>
      <w:tr>
        <w:trPr>
          <w:cantSplit/>
          <w:tblHeader/>
        </w:trPr>
        <w:tc>
          <w:tcPr>
            <w:tcW w:type="dxa" w:w="900"/>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6"/>
                <w:szCs w:val="16"/>
              </w:rPr>
              <w:t xml:space="preserve">Outcome</w:t>
            </w:r>
          </w:p>
        </w:tc>
        <w:tc>
          <w:tcPr>
            <w:tcW w:type="dxa" w:w="3960"/>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6"/>
                <w:szCs w:val="16"/>
              </w:rPr>
              <w:t xml:space="preserve">Enforcement Behavior</w:t>
            </w:r>
          </w:p>
        </w:tc>
      </w:tr>
      <w:tr>
        <w:trPr>
          <w:cantSplit/>
        </w:trPr>
        <w:tc>
          <w:tcPr>
            <w:tcW w:type="dxa" w:w="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ALLOW</w:t>
            </w:r>
          </w:p>
        </w:tc>
        <w:tc>
          <w:tcPr>
            <w:tcW w:type="dxa" w:w="396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Request proceeds to the route handler; recorded in the audit stream.</w:t>
            </w:r>
          </w:p>
        </w:tc>
      </w:tr>
      <w:tr>
        <w:trPr>
          <w:cantSplit/>
        </w:trPr>
        <w:tc>
          <w:tcPr>
            <w:tcW w:type="dxa" w:w="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STEP_UP</w:t>
            </w:r>
          </w:p>
        </w:tc>
        <w:tc>
          <w:tcPr>
            <w:tcW w:type="dxa" w:w="396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HTTP 401 returned with a VERIFY_PIN challenge; client must complete MFA before retrying.</w:t>
            </w:r>
          </w:p>
        </w:tc>
      </w:tr>
      <w:tr>
        <w:trPr>
          <w:cantSplit/>
        </w:trPr>
        <w:tc>
          <w:tcPr>
            <w:tcW w:type="dxa" w:w="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READ_ONLY</w:t>
            </w:r>
          </w:p>
        </w:tc>
        <w:tc>
          <w:tcPr>
            <w:tcW w:type="dxa" w:w="396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HTTP 403 returned for write methods; read access remains available.</w:t>
            </w:r>
          </w:p>
        </w:tc>
      </w:tr>
      <w:tr>
        <w:trPr>
          <w:cantSplit/>
        </w:trPr>
        <w:tc>
          <w:tcPr>
            <w:tcW w:type="dxa" w:w="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BLOCK</w:t>
            </w:r>
          </w:p>
        </w:tc>
        <w:tc>
          <w:tcPr>
            <w:tcW w:type="dxa" w:w="396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HTTP 403 returned immediately with the specific policy ID and reason; audited.</w:t>
            </w:r>
          </w:p>
        </w:tc>
      </w:tr>
    </w:tbl>
    <w:p>
      <w:pPr>
        <w:spacing w:after="160" w:before="280"/>
        <w:jc w:val="center"/>
      </w:pPr>
      <w:r>
        <w:rPr>
          <w:rFonts w:ascii="Times New Roman" w:cs="Times New Roman" w:eastAsia="Times New Roman" w:hAnsi="Times New Roman"/>
          <w:b/>
          <w:bCs/>
          <w:sz w:val="20"/>
          <w:szCs w:val="20"/>
        </w:rPr>
        <w:t xml:space="preserve">VIII. STEP-UP MFA AND CONTINUOUS SESSION REVOCATION</w:t>
      </w:r>
    </w:p>
    <w:p>
      <w:pPr>
        <w:spacing w:after="100" w:before="200"/>
      </w:pPr>
      <w:r>
        <w:rPr>
          <w:rFonts w:ascii="Times New Roman" w:cs="Times New Roman" w:eastAsia="Times New Roman" w:hAnsi="Times New Roman"/>
          <w:b/>
          <w:bCs/>
          <w:i/>
          <w:iCs/>
          <w:sz w:val="19"/>
          <w:szCs w:val="19"/>
        </w:rPr>
        <w:t xml:space="preserve">A. Step-Up Verification Flow</w:t>
      </w:r>
    </w:p>
    <w:p>
      <w:pPr>
        <w:spacing w:after="140" w:line="264"/>
        <w:jc w:val="both"/>
      </w:pPr>
      <w:r>
        <w:rPr>
          <w:rFonts w:ascii="Times New Roman" w:cs="Times New Roman" w:eastAsia="Times New Roman" w:hAnsi="Times New Roman"/>
          <w:sz w:val="19"/>
          <w:szCs w:val="19"/>
        </w:rPr>
        <w:t xml:space="preserve">When a request is resolved to STEP_UP, the frontend presents a modal challenge requesting a short numeric PIN. On submission, POST /api/ztca/verify-stepup validates the PIN (or an administrative password) and, on success, issues a token of the form STEPUP_VALID_&lt;timestamp&gt;. The client retries the original request with this token attached as x-ztca-stepup-token. Inside the risk engine, a recognized, validly-prefixed token applies a flat −30 point credit (rf_mfa_verified) to the total score before the cap and level are computed, which is frequently — though not always, depending on how many other factors were present — enough to move the request back under the relevant policy's threshold and allow it through.</w:t>
      </w:r>
    </w:p>
    <w:p>
      <w:pPr>
        <w:spacing w:before="200"/>
      </w:pP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4860"/>
      </w:tblGrid>
      <w:tr>
        <w:trPr>
          <w:trHeight w:val="1900" w:hRule="atLeast"/>
        </w:trPr>
        <w:tc>
          <w:tcPr>
            <w:tcW w:type="dxa" w:w="4860"/>
            <w:tcBorders>
              <w:top w:val="dashed" w:color="808080" w:sz="6"/>
              <w:left w:val="dashed" w:color="808080" w:sz="6"/>
              <w:bottom w:val="dashed" w:color="808080" w:sz="6"/>
              <w:right w:val="dashed" w:color="808080" w:sz="6"/>
            </w:tcBorders>
            <w:shd w:fill="F2F2F2" w:val="clear"/>
            <w:tcMar>
              <w:top w:type="dxa" w:w="200"/>
              <w:left w:type="dxa" w:w="260"/>
              <w:bottom w:type="dxa" w:w="200"/>
              <w:right w:type="dxa" w:w="260"/>
            </w:tcMar>
            <w:vAlign w:val="center"/>
          </w:tcPr>
          <w:p>
            <w:pPr>
              <w:spacing w:after="80"/>
              <w:jc w:val="center"/>
            </w:pPr>
            <w:r>
              <w:rPr>
                <w:rFonts w:ascii="Times New Roman" w:cs="Times New Roman" w:eastAsia="Times New Roman" w:hAnsi="Times New Roman"/>
                <w:b/>
                <w:bCs/>
                <w:i/>
                <w:iCs/>
                <w:color w:val="595959"/>
                <w:sz w:val="16"/>
                <w:szCs w:val="16"/>
              </w:rPr>
              <w:t xml:space="preserve">[ SCREENSHOT / DIAGRAM SPACE — NOT YET INSERTED ]</w:t>
            </w:r>
          </w:p>
          <w:p>
            <w:pPr>
              <w:jc w:val="center"/>
            </w:pPr>
            <w:r>
              <w:rPr>
                <w:rFonts w:ascii="Times New Roman" w:cs="Times New Roman" w:eastAsia="Times New Roman" w:hAnsi="Times New Roman"/>
                <w:i/>
                <w:iCs/>
                <w:color w:val="404040"/>
                <w:sz w:val="16"/>
                <w:szCs w:val="16"/>
              </w:rPr>
              <w:t xml:space="preserve">Place here: a screenshot of the StepUpModal component prompting the user for a 6-digit security PIN after a dispatch or admin action returns a STEP_UP decision.</w:t>
            </w:r>
          </w:p>
        </w:tc>
      </w:tr>
    </w:tbl>
    <w:p>
      <w:pPr>
        <w:spacing w:after="200" w:before="80"/>
        <w:jc w:val="center"/>
      </w:pPr>
      <w:r>
        <w:rPr>
          <w:rFonts w:ascii="Times New Roman" w:cs="Times New Roman" w:eastAsia="Times New Roman" w:hAnsi="Times New Roman"/>
          <w:sz w:val="16"/>
          <w:szCs w:val="16"/>
        </w:rPr>
        <w:t xml:space="preserve">Fig. 5. Step-Up MFA challenge modal, triggered when a request's risk score exceeds a policy's configured threshold.</w:t>
      </w:r>
    </w:p>
    <w:p>
      <w:pPr>
        <w:spacing w:after="100" w:before="200"/>
      </w:pPr>
      <w:r>
        <w:rPr>
          <w:rFonts w:ascii="Times New Roman" w:cs="Times New Roman" w:eastAsia="Times New Roman" w:hAnsi="Times New Roman"/>
          <w:b/>
          <w:bCs/>
          <w:i/>
          <w:iCs/>
          <w:sz w:val="19"/>
          <w:szCs w:val="19"/>
        </w:rPr>
        <w:t xml:space="preserve">B. Continuous Session Revocation</w:t>
      </w:r>
    </w:p>
    <w:p>
      <w:pPr>
        <w:spacing w:after="140" w:line="264"/>
        <w:jc w:val="both"/>
      </w:pPr>
      <w:r>
        <w:rPr>
          <w:rFonts w:ascii="Times New Roman" w:cs="Times New Roman" w:eastAsia="Times New Roman" w:hAnsi="Times New Roman"/>
          <w:sz w:val="19"/>
          <w:szCs w:val="19"/>
        </w:rPr>
        <w:t xml:space="preserve">Unlike device or location risk, which are additive contributors to the 0–100 score, session revocation is treated as an absolute mandatory rule (pol_7_session_revocation): if x-ztca-session-revoked is true or x-ztca-session-state equals revoked, the request is blocked immediately regardless of an otherwise low risk score. This reflects the Zero Trust principle that a session's validity must itself be continuously re-checked, not merely assumed to persist once granted, so that an administrator revoking a compromised session sees it take effect on the very next request rather than only after a token naturally expires.</w:t>
      </w:r>
    </w:p>
    <w:p>
      <w:pPr>
        <w:spacing w:after="160" w:before="280"/>
        <w:jc w:val="center"/>
      </w:pPr>
      <w:r>
        <w:rPr>
          <w:rFonts w:ascii="Times New Roman" w:cs="Times New Roman" w:eastAsia="Times New Roman" w:hAnsi="Times New Roman"/>
          <w:b/>
          <w:bCs/>
          <w:sz w:val="20"/>
          <w:szCs w:val="20"/>
        </w:rPr>
        <w:t xml:space="preserve">IX. REAL-TIME LIVENESS: CONTINUOUS AUDIT REFLECTION</w:t>
      </w:r>
    </w:p>
    <w:p>
      <w:pPr>
        <w:spacing w:after="140" w:line="264"/>
        <w:jc w:val="both"/>
      </w:pPr>
      <w:r>
        <w:rPr>
          <w:rFonts w:ascii="Times New Roman" w:cs="Times New Roman" w:eastAsia="Times New Roman" w:hAnsi="Times New Roman"/>
          <w:sz w:val="19"/>
          <w:szCs w:val="19"/>
        </w:rPr>
        <w:t xml:space="preserve">A Zero Trust system is only as useful as the visibility it gives administrators into what it is doing. The Security Admin Panel achieves near-instant reflection of every decision through two complementary mechanisms operating together rather than either alone.</w:t>
      </w:r>
    </w:p>
    <w:p>
      <w:pPr>
        <w:spacing w:after="100" w:before="200"/>
      </w:pPr>
      <w:r>
        <w:rPr>
          <w:rFonts w:ascii="Times New Roman" w:cs="Times New Roman" w:eastAsia="Times New Roman" w:hAnsi="Times New Roman"/>
          <w:b/>
          <w:bCs/>
          <w:i/>
          <w:iCs/>
          <w:sz w:val="19"/>
          <w:szCs w:val="19"/>
        </w:rPr>
        <w:t xml:space="preserve">A. Short-Interval Database Polling</w:t>
      </w:r>
    </w:p>
    <w:p>
      <w:pPr>
        <w:spacing w:after="140" w:line="264"/>
        <w:jc w:val="both"/>
      </w:pPr>
      <w:r>
        <w:rPr>
          <w:rFonts w:ascii="Times New Roman" w:cs="Times New Roman" w:eastAsia="Times New Roman" w:hAnsi="Times New Roman"/>
          <w:sz w:val="19"/>
          <w:szCs w:val="19"/>
        </w:rPr>
        <w:t xml:space="preserve">The Admin Panel calls GET /api/admin/metrics, GET /api/admin/audit-logs, GET /api/admin/policies, and GET /api/admin/devices on a 1.5-second setInterval loop while the panel is open, so the Live Request Stream, KPI cards, and device registry are never more than 1.5 seconds stale relative to the underlying JSON audit store.</w:t>
      </w:r>
    </w:p>
    <w:p>
      <w:pPr>
        <w:spacing w:after="100" w:before="200"/>
      </w:pPr>
      <w:r>
        <w:rPr>
          <w:rFonts w:ascii="Times New Roman" w:cs="Times New Roman" w:eastAsia="Times New Roman" w:hAnsi="Times New Roman"/>
          <w:b/>
          <w:bCs/>
          <w:i/>
          <w:iCs/>
          <w:sz w:val="19"/>
          <w:szCs w:val="19"/>
        </w:rPr>
        <w:t xml:space="preserve">B. BroadcastChannel Push for Immediate KPI Updates</w:t>
      </w:r>
    </w:p>
    <w:p>
      <w:pPr>
        <w:spacing w:after="140" w:line="264"/>
        <w:jc w:val="both"/>
      </w:pPr>
      <w:r>
        <w:rPr>
          <w:rFonts w:ascii="Times New Roman" w:cs="Times New Roman" w:eastAsia="Times New Roman" w:hAnsi="Times New Roman"/>
          <w:sz w:val="19"/>
          <w:szCs w:val="19"/>
        </w:rPr>
        <w:t xml:space="preserve">Because polling alone introduces up to 1.5 seconds of latency, the simulation endpoint additionally returns a full metrics snapshot — total requests, allowed/blocked/step-up/read-only counts, average risk score, new-device and location-anomaly counters, off-hours request counts, and a LOW/MEDIUM/HIGH/CRITICAL risk-level distribution — directly in its response body. The simulation widget immediately posts this snapshot on a same-origin BroadcastChannel('ztca-updates') channel, and the Admin Panel's onmessage listener applies it to the KPI cards the instant the message arrives, independent of the next poll cycle. The combined effect is that an administrator watching the panel sees a simulated or live decision reflected in well under two seconds, and typically sub-second for KPI counters specifically.</w:t>
      </w:r>
    </w:p>
    <w:p>
      <w:pPr>
        <w:spacing w:before="200"/>
      </w:pP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4860"/>
      </w:tblGrid>
      <w:tr>
        <w:trPr>
          <w:trHeight w:val="1900" w:hRule="atLeast"/>
        </w:trPr>
        <w:tc>
          <w:tcPr>
            <w:tcW w:type="dxa" w:w="4860"/>
            <w:tcBorders>
              <w:top w:val="dashed" w:color="808080" w:sz="6"/>
              <w:left w:val="dashed" w:color="808080" w:sz="6"/>
              <w:bottom w:val="dashed" w:color="808080" w:sz="6"/>
              <w:right w:val="dashed" w:color="808080" w:sz="6"/>
            </w:tcBorders>
            <w:shd w:fill="F2F2F2" w:val="clear"/>
            <w:tcMar>
              <w:top w:type="dxa" w:w="200"/>
              <w:left w:type="dxa" w:w="260"/>
              <w:bottom w:type="dxa" w:w="200"/>
              <w:right w:type="dxa" w:w="260"/>
            </w:tcMar>
            <w:vAlign w:val="center"/>
          </w:tcPr>
          <w:p>
            <w:pPr>
              <w:spacing w:after="80"/>
              <w:jc w:val="center"/>
            </w:pPr>
            <w:r>
              <w:rPr>
                <w:rFonts w:ascii="Times New Roman" w:cs="Times New Roman" w:eastAsia="Times New Roman" w:hAnsi="Times New Roman"/>
                <w:b/>
                <w:bCs/>
                <w:i/>
                <w:iCs/>
                <w:color w:val="595959"/>
                <w:sz w:val="16"/>
                <w:szCs w:val="16"/>
              </w:rPr>
              <w:t xml:space="preserve">[ SCREENSHOT / DIAGRAM SPACE — NOT YET INSERTED ]</w:t>
            </w:r>
          </w:p>
          <w:p>
            <w:pPr>
              <w:jc w:val="center"/>
            </w:pPr>
            <w:r>
              <w:rPr>
                <w:rFonts w:ascii="Times New Roman" w:cs="Times New Roman" w:eastAsia="Times New Roman" w:hAnsi="Times New Roman"/>
                <w:i/>
                <w:iCs/>
                <w:color w:val="404040"/>
                <w:sz w:val="16"/>
                <w:szCs w:val="16"/>
              </w:rPr>
              <w:t xml:space="preserve">Place here: a screenshot of the Security Admin Panel's live KPI row (Total, Allowed, Step-Up MFA, Read-Only, Blocked, Avg Context Risk) together with the filterable Live Request Stream table below it, ideally captured mid-update.</w:t>
            </w:r>
          </w:p>
        </w:tc>
      </w:tr>
    </w:tbl>
    <w:p>
      <w:pPr>
        <w:spacing w:after="200" w:before="80"/>
        <w:jc w:val="center"/>
      </w:pPr>
      <w:r>
        <w:rPr>
          <w:rFonts w:ascii="Times New Roman" w:cs="Times New Roman" w:eastAsia="Times New Roman" w:hAnsi="Times New Roman"/>
          <w:sz w:val="16"/>
          <w:szCs w:val="16"/>
        </w:rPr>
        <w:t xml:space="preserve">Fig. 6. Security Admin Panel showing live KPI cards and the filterable Live Request Stream, updated on a 1.5-second polling cycle with BroadcastChannel push for KPIs.</w:t>
      </w:r>
    </w:p>
    <w:p>
      <w:pPr>
        <w:spacing w:after="160" w:before="280"/>
        <w:jc w:val="center"/>
      </w:pPr>
      <w:r>
        <w:rPr>
          <w:rFonts w:ascii="Times New Roman" w:cs="Times New Roman" w:eastAsia="Times New Roman" w:hAnsi="Times New Roman"/>
          <w:b/>
          <w:bCs/>
          <w:sz w:val="20"/>
          <w:szCs w:val="20"/>
        </w:rPr>
        <w:t xml:space="preserve">X. TRUST CENTER — USER-FACING TRANSPARENCY</w:t>
      </w:r>
    </w:p>
    <w:p>
      <w:pPr>
        <w:spacing w:after="140" w:line="264"/>
        <w:jc w:val="both"/>
      </w:pPr>
      <w:r>
        <w:rPr>
          <w:rFonts w:ascii="Times New Roman" w:cs="Times New Roman" w:eastAsia="Times New Roman" w:hAnsi="Times New Roman"/>
          <w:sz w:val="19"/>
          <w:szCs w:val="19"/>
        </w:rPr>
        <w:t xml:space="preserve">Beyond the administrator-facing Admin Panel, TransitOps exposes a Trust Center accessible to every authenticated role. It presents a Role Action Matrix letting any user select a role and inspect which actions are permitted, restricted, or conditional; a Seven-Policy Implementation Review confirming, policy by policy, that the backend engine is actively evaluating and enforcing each of the seven elements described in Section VI rather than merely documenting them; a Rule-Based Risk Detection panel explaining how context signals are added and capped at 100; and a Known Limitations section that candidly discloses where the demo authentication and risk heuristics fall short of production-grade guarantees. A Project Overview modal, shown on the login screen prior to authentication, further explains the four-phase authorization cycle (Request, Context Build, Risk Score, Policy Decision) to new users and evaluators before they ever sign in.</w:t>
      </w:r>
    </w:p>
    <w:p>
      <w:pPr>
        <w:spacing w:before="200"/>
      </w:pP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4860"/>
      </w:tblGrid>
      <w:tr>
        <w:trPr>
          <w:trHeight w:val="1900" w:hRule="atLeast"/>
        </w:trPr>
        <w:tc>
          <w:tcPr>
            <w:tcW w:type="dxa" w:w="4860"/>
            <w:tcBorders>
              <w:top w:val="dashed" w:color="808080" w:sz="6"/>
              <w:left w:val="dashed" w:color="808080" w:sz="6"/>
              <w:bottom w:val="dashed" w:color="808080" w:sz="6"/>
              <w:right w:val="dashed" w:color="808080" w:sz="6"/>
            </w:tcBorders>
            <w:shd w:fill="F2F2F2" w:val="clear"/>
            <w:tcMar>
              <w:top w:type="dxa" w:w="200"/>
              <w:left w:type="dxa" w:w="260"/>
              <w:bottom w:type="dxa" w:w="200"/>
              <w:right w:type="dxa" w:w="260"/>
            </w:tcMar>
            <w:vAlign w:val="center"/>
          </w:tcPr>
          <w:p>
            <w:pPr>
              <w:spacing w:after="80"/>
              <w:jc w:val="center"/>
            </w:pPr>
            <w:r>
              <w:rPr>
                <w:rFonts w:ascii="Times New Roman" w:cs="Times New Roman" w:eastAsia="Times New Roman" w:hAnsi="Times New Roman"/>
                <w:b/>
                <w:bCs/>
                <w:i/>
                <w:iCs/>
                <w:color w:val="595959"/>
                <w:sz w:val="16"/>
                <w:szCs w:val="16"/>
              </w:rPr>
              <w:t xml:space="preserve">[ SCREENSHOT / DIAGRAM SPACE — NOT YET INSERTED ]</w:t>
            </w:r>
          </w:p>
          <w:p>
            <w:pPr>
              <w:jc w:val="center"/>
            </w:pPr>
            <w:r>
              <w:rPr>
                <w:rFonts w:ascii="Times New Roman" w:cs="Times New Roman" w:eastAsia="Times New Roman" w:hAnsi="Times New Roman"/>
                <w:i/>
                <w:iCs/>
                <w:color w:val="404040"/>
                <w:sz w:val="16"/>
                <w:szCs w:val="16"/>
              </w:rPr>
              <w:t xml:space="preserve">Place here: a screenshot of the Trust Center's role action matrix and seven-policy implementation review sections, showing ALLOWED/RESTRICTED/CONDITIONAL badges per role.</w:t>
            </w:r>
          </w:p>
        </w:tc>
      </w:tr>
    </w:tbl>
    <w:p>
      <w:pPr>
        <w:spacing w:after="200" w:before="80"/>
        <w:jc w:val="center"/>
      </w:pPr>
      <w:r>
        <w:rPr>
          <w:rFonts w:ascii="Times New Roman" w:cs="Times New Roman" w:eastAsia="Times New Roman" w:hAnsi="Times New Roman"/>
          <w:sz w:val="16"/>
          <w:szCs w:val="16"/>
        </w:rPr>
        <w:t xml:space="preserve">Fig. 7. User-facing Trust Center, exposing the role action matrix and per-policy implementation status to every authenticated user.</w:t>
      </w:r>
    </w:p>
    <w:p>
      <w:pPr>
        <w:spacing w:after="160" w:before="280"/>
        <w:jc w:val="center"/>
      </w:pPr>
      <w:r>
        <w:rPr>
          <w:rFonts w:ascii="Times New Roman" w:cs="Times New Roman" w:eastAsia="Times New Roman" w:hAnsi="Times New Roman"/>
          <w:b/>
          <w:bCs/>
          <w:sz w:val="20"/>
          <w:szCs w:val="20"/>
        </w:rPr>
        <w:t xml:space="preserve">XI. CASE STUDY: REPRESENTATIVE REQUEST WALKTHROUGHS</w:t>
      </w:r>
    </w:p>
    <w:p>
      <w:pPr>
        <w:spacing w:after="140" w:line="264"/>
        <w:jc w:val="both"/>
      </w:pPr>
      <w:r>
        <w:rPr>
          <w:rFonts w:ascii="Times New Roman" w:cs="Times New Roman" w:eastAsia="Times New Roman" w:hAnsi="Times New Roman"/>
          <w:sz w:val="19"/>
          <w:szCs w:val="19"/>
        </w:rPr>
        <w:t xml:space="preserve">The following three walkthroughs trace real values through the deployed risk engine and PDP exactly as implemented in Sections V–VII.</w:t>
      </w:r>
    </w:p>
    <w:p>
      <w:pPr>
        <w:spacing w:after="100" w:before="200"/>
      </w:pPr>
      <w:r>
        <w:rPr>
          <w:rFonts w:ascii="Times New Roman" w:cs="Times New Roman" w:eastAsia="Times New Roman" w:hAnsi="Times New Roman"/>
          <w:b/>
          <w:bCs/>
          <w:i/>
          <w:iCs/>
          <w:sz w:val="19"/>
          <w:szCs w:val="19"/>
        </w:rPr>
        <w:t xml:space="preserve">A. Rogue Dispatch Attempt</w:t>
      </w:r>
    </w:p>
    <w:p>
      <w:pPr>
        <w:spacing w:after="140" w:line="264"/>
        <w:jc w:val="both"/>
      </w:pPr>
      <w:r>
        <w:rPr>
          <w:rFonts w:ascii="Times New Roman" w:cs="Times New Roman" w:eastAsia="Times New Roman" w:hAnsi="Times New Roman"/>
          <w:sz w:val="19"/>
          <w:szCs w:val="19"/>
        </w:rPr>
        <w:t xml:space="preserve">A Driver session presents an unrecognized device (+25), a foreign city outside the known-location registry (+20), and an off-hours timestamp (+15) while attempting to dispatch a trip (write method on /trips, +20 dispatch sensitivity). Because DISPATCH_TRIP is present in the Driver entry of ROLE_ACCESS_MATRIX, the mandatory role-matrix rule (pol_6) does not block the request outright — but the privilege-mismatch rule still fires because the requested privilege is not READ_OPERATIONS (+25). The running total reaches 105, clamped to 100 (CRITICAL). Because the universal risk cap (pol_5_general_risk_cap, threshold 75) is violated first among the configurable policies, the PDP returns BLOCK before the dispatch-specific step-up policy is even reached.</w:t>
      </w:r>
    </w:p>
    <w:p>
      <w:pPr>
        <w:spacing w:after="100" w:before="200"/>
      </w:pPr>
      <w:r>
        <w:rPr>
          <w:rFonts w:ascii="Times New Roman" w:cs="Times New Roman" w:eastAsia="Times New Roman" w:hAnsi="Times New Roman"/>
          <w:b/>
          <w:bCs/>
          <w:i/>
          <w:iCs/>
          <w:sz w:val="19"/>
          <w:szCs w:val="19"/>
        </w:rPr>
        <w:t xml:space="preserve">B. Legitimate Step-Up Recovery</w:t>
      </w:r>
    </w:p>
    <w:p>
      <w:pPr>
        <w:spacing w:after="140" w:line="264"/>
        <w:jc w:val="both"/>
      </w:pPr>
      <w:r>
        <w:rPr>
          <w:rFonts w:ascii="Times New Roman" w:cs="Times New Roman" w:eastAsia="Times New Roman" w:hAnsi="Times New Roman"/>
          <w:sz w:val="19"/>
          <w:szCs w:val="19"/>
        </w:rPr>
        <w:t xml:space="preserve">A Fleet Manager on a known device but an unfamiliar city attempts a trip dispatch: location anomaly (+20) plus dispatch sensitivity (+20) totals 40, exactly at the pol_2_dispatch_stepup threshold, so the PDP returns STEP_UP. The frontend's StepUpModal collects a PIN, POST /api/ztca/verify-stepup returns a STEPUP_VALID_&lt;ts&gt; token, and the dispatch is retried with x-ztca-stepup-token set. The engine now applies the −30 rf_mfa_verified credit, dropping the score to 10 (LOW), and the PDP returns ALLOW — recording both the original STEP_UP and the subsequent ALLOW as two separate, linked audit entries.</w:t>
      </w:r>
    </w:p>
    <w:p>
      <w:pPr>
        <w:spacing w:after="100" w:before="200"/>
      </w:pPr>
      <w:r>
        <w:rPr>
          <w:rFonts w:ascii="Times New Roman" w:cs="Times New Roman" w:eastAsia="Times New Roman" w:hAnsi="Times New Roman"/>
          <w:b/>
          <w:bCs/>
          <w:i/>
          <w:iCs/>
          <w:sz w:val="19"/>
          <w:szCs w:val="19"/>
        </w:rPr>
        <w:t xml:space="preserve">C. Financial Read-Only Downgrade</w:t>
      </w:r>
    </w:p>
    <w:p>
      <w:pPr>
        <w:spacing w:after="140" w:line="264"/>
        <w:jc w:val="both"/>
      </w:pPr>
      <w:r>
        <w:rPr>
          <w:rFonts w:ascii="Times New Roman" w:cs="Times New Roman" w:eastAsia="Times New Roman" w:hAnsi="Times New Roman"/>
          <w:sz w:val="19"/>
          <w:szCs w:val="19"/>
        </w:rPr>
        <w:t xml:space="preserve">A Financial Analyst attempts to post an expense entry from an unrecognized device (+25) during an off-hours window (+15), plus expense sensitivity (+15), totaling 55 (HIGH). This exceeds pol_4_financial_readonly's threshold of 45, so the PDP returns READ_ONLY: the write is refused with a clear message, but the analyst's read access to existing ledger entries remains fully available, preserving operational visibility while protecting ledger integrity.</w:t>
      </w:r>
    </w:p>
    <w:p>
      <w:pPr>
        <w:spacing w:after="160" w:before="280"/>
        <w:jc w:val="center"/>
      </w:pPr>
      <w:r>
        <w:rPr>
          <w:rFonts w:ascii="Times New Roman" w:cs="Times New Roman" w:eastAsia="Times New Roman" w:hAnsi="Times New Roman"/>
          <w:b/>
          <w:bCs/>
          <w:sz w:val="20"/>
          <w:szCs w:val="20"/>
        </w:rPr>
        <w:t xml:space="preserve">XII. EVALUATION</w:t>
      </w:r>
    </w:p>
    <w:p>
      <w:pPr>
        <w:spacing w:after="100" w:before="200"/>
      </w:pPr>
      <w:r>
        <w:rPr>
          <w:rFonts w:ascii="Times New Roman" w:cs="Times New Roman" w:eastAsia="Times New Roman" w:hAnsi="Times New Roman"/>
          <w:b/>
          <w:bCs/>
          <w:i/>
          <w:iCs/>
          <w:sz w:val="19"/>
          <w:szCs w:val="19"/>
        </w:rPr>
        <w:t xml:space="preserve">A. Effective Role-to-Privilege Access</w:t>
      </w:r>
    </w:p>
    <w:p>
      <w:pPr>
        <w:spacing w:after="140" w:line="264"/>
        <w:jc w:val="both"/>
      </w:pPr>
      <w:r>
        <w:rPr>
          <w:rFonts w:ascii="Times New Roman" w:cs="Times New Roman" w:eastAsia="Times New Roman" w:hAnsi="Times New Roman"/>
          <w:sz w:val="19"/>
          <w:szCs w:val="19"/>
        </w:rPr>
        <w:t xml:space="preserve">Table V summarizes the effective access each role holds under ROLE_ACCESS_MATRIX before risk-based modifiers are applied. A notable and deliberate nuance is that the matrix technically authorizes Driver for DISPATCH_TRIP and MANAGE_EXPENSES privileges — the role is not statically forbidden from these actions — but the independent rf_privilege_mismatch risk rule (+25, Section V) penalizes any Driver request outside READ_OPERATIONS regardless of role-matrix authorization. In practice this compounds with device, location, and sensitivity factors to push most Driver write attempts into STEP_UP or BLOCK territory, which is a defense-in-depth outcome rather than a simple static denial, and is a meaningfully more nuanced design than a role-only access-control list would provide.</w:t>
      </w:r>
    </w:p>
    <w:p>
      <w:pPr>
        <w:spacing w:after="100" w:before="220"/>
        <w:jc w:val="center"/>
      </w:pPr>
      <w:r>
        <w:rPr>
          <w:rFonts w:ascii="Times New Roman" w:cs="Times New Roman" w:eastAsia="Times New Roman" w:hAnsi="Times New Roman"/>
          <w:sz w:val="17"/>
          <w:szCs w:val="17"/>
        </w:rPr>
        <w:t xml:space="preserve">TABLE V</w:t>
      </w:r>
      <w:r>
        <w:rPr>
          <w:rFonts w:ascii="Times New Roman" w:cs="Times New Roman" w:eastAsia="Times New Roman" w:hAnsi="Times New Roman"/>
          <w:sz w:val="17"/>
          <w:szCs w:val="17"/>
        </w:rPr>
        <w:t xml:space="preserve">  ROLE ACCESS MATRIX (ROLE_ACCESS_MATRIX)</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300"/>
        <w:gridCol w:w="3560"/>
      </w:tblGrid>
      <w:tr>
        <w:trPr>
          <w:cantSplit/>
          <w:tblHeader/>
        </w:trPr>
        <w:tc>
          <w:tcPr>
            <w:tcW w:type="dxa" w:w="1300"/>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6"/>
                <w:szCs w:val="16"/>
              </w:rPr>
              <w:t xml:space="preserve">Role</w:t>
            </w:r>
          </w:p>
        </w:tc>
        <w:tc>
          <w:tcPr>
            <w:tcW w:type="dxa" w:w="3560"/>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6"/>
                <w:szCs w:val="16"/>
              </w:rPr>
              <w:t xml:space="preserve">Authorized Privileges</w:t>
            </w:r>
          </w:p>
        </w:tc>
      </w:tr>
      <w:tr>
        <w:trPr>
          <w:cantSplit/>
        </w:trPr>
        <w:tc>
          <w:tcPr>
            <w:tcW w:type="dxa" w:w="1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Admin</w:t>
            </w:r>
          </w:p>
        </w:tc>
        <w:tc>
          <w:tcPr>
            <w:tcW w:type="dxa" w:w="356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READ_OPERATIONS, DISPATCH_TRIP, MANAGE_EXPENSES, ADMIN_POLICIES, SUPER_USER</w:t>
            </w:r>
          </w:p>
        </w:tc>
      </w:tr>
      <w:tr>
        <w:trPr>
          <w:cantSplit/>
        </w:trPr>
        <w:tc>
          <w:tcPr>
            <w:tcW w:type="dxa" w:w="1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Fleet Manager</w:t>
            </w:r>
          </w:p>
        </w:tc>
        <w:tc>
          <w:tcPr>
            <w:tcW w:type="dxa" w:w="356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READ_OPERATIONS, WRITE_VEHICLES, WRITE_DRIVERS, DISPATCH_TRIP</w:t>
            </w:r>
          </w:p>
        </w:tc>
      </w:tr>
      <w:tr>
        <w:trPr>
          <w:cantSplit/>
        </w:trPr>
        <w:tc>
          <w:tcPr>
            <w:tcW w:type="dxa" w:w="1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Driver</w:t>
            </w:r>
          </w:p>
        </w:tc>
        <w:tc>
          <w:tcPr>
            <w:tcW w:type="dxa" w:w="356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READ_OPERATIONS, DISPATCH_TRIP, MANAGE_EXPENSES (risk-penalized outside READ_OPERATIONS)</w:t>
            </w:r>
          </w:p>
        </w:tc>
      </w:tr>
      <w:tr>
        <w:trPr>
          <w:cantSplit/>
        </w:trPr>
        <w:tc>
          <w:tcPr>
            <w:tcW w:type="dxa" w:w="1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Safety Officer</w:t>
            </w:r>
          </w:p>
        </w:tc>
        <w:tc>
          <w:tcPr>
            <w:tcW w:type="dxa" w:w="356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READ_OPERATIONS, WRITE_DRIVERS, DISPATCH_TRIP</w:t>
            </w:r>
          </w:p>
        </w:tc>
      </w:tr>
      <w:tr>
        <w:trPr>
          <w:cantSplit/>
        </w:trPr>
        <w:tc>
          <w:tcPr>
            <w:tcW w:type="dxa" w:w="1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Financial Analyst</w:t>
            </w:r>
          </w:p>
        </w:tc>
        <w:tc>
          <w:tcPr>
            <w:tcW w:type="dxa" w:w="356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READ_OPERATIONS, MANAGE_EXPENSES</w:t>
            </w:r>
          </w:p>
        </w:tc>
      </w:tr>
      <w:tr>
        <w:trPr>
          <w:cantSplit/>
        </w:trPr>
        <w:tc>
          <w:tcPr>
            <w:tcW w:type="dxa" w:w="13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System</w:t>
            </w:r>
          </w:p>
        </w:tc>
        <w:tc>
          <w:tcPr>
            <w:tcW w:type="dxa" w:w="356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READ_OPERATIONS, ADMIN_POLICIES</w:t>
            </w:r>
          </w:p>
        </w:tc>
      </w:tr>
    </w:tbl>
    <w:p>
      <w:pPr>
        <w:spacing w:after="100" w:before="200"/>
      </w:pPr>
      <w:r>
        <w:rPr>
          <w:rFonts w:ascii="Times New Roman" w:cs="Times New Roman" w:eastAsia="Times New Roman" w:hAnsi="Times New Roman"/>
          <w:b/>
          <w:bCs/>
          <w:i/>
          <w:iCs/>
          <w:sz w:val="19"/>
          <w:szCs w:val="19"/>
        </w:rPr>
        <w:t xml:space="preserve">B. Representative Validation Cases</w:t>
      </w:r>
    </w:p>
    <w:p>
      <w:pPr>
        <w:spacing w:after="100" w:before="220"/>
        <w:jc w:val="center"/>
      </w:pPr>
      <w:r>
        <w:rPr>
          <w:rFonts w:ascii="Times New Roman" w:cs="Times New Roman" w:eastAsia="Times New Roman" w:hAnsi="Times New Roman"/>
          <w:sz w:val="17"/>
          <w:szCs w:val="17"/>
        </w:rPr>
        <w:t xml:space="preserve">TABLE VI</w:t>
      </w:r>
      <w:r>
        <w:rPr>
          <w:rFonts w:ascii="Times New Roman" w:cs="Times New Roman" w:eastAsia="Times New Roman" w:hAnsi="Times New Roman"/>
          <w:sz w:val="17"/>
          <w:szCs w:val="17"/>
        </w:rPr>
        <w:t xml:space="preserve">  VALIDATION CASES EXERCISED AGAINST THE DEPLOYED ENGINE</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1810"/>
      </w:tblGrid>
      <w:tr>
        <w:trPr>
          <w:cantSplit/>
          <w:tblHeader/>
        </w:trPr>
        <w:tc>
          <w:tcPr>
            <w:tcW w:type="dxa" w:w="1150"/>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6"/>
                <w:szCs w:val="16"/>
              </w:rPr>
              <w:t xml:space="preserve">Case</w:t>
            </w:r>
          </w:p>
        </w:tc>
        <w:tc>
          <w:tcPr>
            <w:tcW w:type="dxa" w:w="1900"/>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6"/>
                <w:szCs w:val="16"/>
              </w:rPr>
              <w:t xml:space="preserve">Input Context</w:t>
            </w:r>
          </w:p>
        </w:tc>
        <w:tc>
          <w:tcPr>
            <w:tcW w:type="dxa" w:w="1810"/>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6"/>
                <w:szCs w:val="16"/>
              </w:rPr>
              <w:t xml:space="preserve">Observed Outcome</w:t>
            </w:r>
          </w:p>
        </w:tc>
      </w:tr>
      <w:tr>
        <w:trPr>
          <w:cantSplit/>
        </w:trPr>
        <w:tc>
          <w:tcPr>
            <w:tcW w:type="dxa" w:w="11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Admin lockdown</w:t>
            </w:r>
          </w:p>
        </w:tc>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Fleet Manager calls /api/admin/policies</w:t>
            </w:r>
          </w:p>
        </w:tc>
        <w:tc>
          <w:tcPr>
            <w:tcW w:type="dxa" w:w="181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BLOCK (pol_1 / mandatory role check)</w:t>
            </w:r>
          </w:p>
        </w:tc>
      </w:tr>
      <w:tr>
        <w:trPr>
          <w:cantSplit/>
        </w:trPr>
        <w:tc>
          <w:tcPr>
            <w:tcW w:type="dxa" w:w="11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Dispatch step-up</w:t>
            </w:r>
          </w:p>
        </w:tc>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Fleet Manager, unfamiliar city, dispatch</w:t>
            </w:r>
          </w:p>
        </w:tc>
        <w:tc>
          <w:tcPr>
            <w:tcW w:type="dxa" w:w="181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STEP_UP at risk 40; ALLOW after PIN</w:t>
            </w:r>
          </w:p>
        </w:tc>
      </w:tr>
      <w:tr>
        <w:trPr>
          <w:cantSplit/>
        </w:trPr>
        <w:tc>
          <w:tcPr>
            <w:tcW w:type="dxa" w:w="11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Fleet mod protection</w:t>
            </w:r>
          </w:p>
        </w:tc>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Unknown device edits a vehicle record</w:t>
            </w:r>
          </w:p>
        </w:tc>
        <w:tc>
          <w:tcPr>
            <w:tcW w:type="dxa" w:w="181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BLOCK (pol_3, risk &gt; 50)</w:t>
            </w:r>
          </w:p>
        </w:tc>
      </w:tr>
      <w:tr>
        <w:trPr>
          <w:cantSplit/>
        </w:trPr>
        <w:tc>
          <w:tcPr>
            <w:tcW w:type="dxa" w:w="11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Financial downgrade</w:t>
            </w:r>
          </w:p>
        </w:tc>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Analyst posts expense, unknown device + off-hours</w:t>
            </w:r>
          </w:p>
        </w:tc>
        <w:tc>
          <w:tcPr>
            <w:tcW w:type="dxa" w:w="181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READ_ONLY (pol_4, risk 55 &gt; 45)</w:t>
            </w:r>
          </w:p>
        </w:tc>
      </w:tr>
      <w:tr>
        <w:trPr>
          <w:cantSplit/>
        </w:trPr>
        <w:tc>
          <w:tcPr>
            <w:tcW w:type="dxa" w:w="11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Universal risk cap</w:t>
            </w:r>
          </w:p>
        </w:tc>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Compounded device+geo+hours+privilege factors</w:t>
            </w:r>
          </w:p>
        </w:tc>
        <w:tc>
          <w:tcPr>
            <w:tcW w:type="dxa" w:w="181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BLOCK (pol_5, risk ≥ 75)</w:t>
            </w:r>
          </w:p>
        </w:tc>
      </w:tr>
      <w:tr>
        <w:trPr>
          <w:cantSplit/>
        </w:trPr>
        <w:tc>
          <w:tcPr>
            <w:tcW w:type="dxa" w:w="11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Session revocation</w:t>
            </w:r>
          </w:p>
        </w:tc>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Valid role, but session-revoked header set</w:t>
            </w:r>
          </w:p>
        </w:tc>
        <w:tc>
          <w:tcPr>
            <w:tcW w:type="dxa" w:w="181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BLOCK (pol_7, unconditional)</w:t>
            </w:r>
          </w:p>
        </w:tc>
      </w:tr>
      <w:tr>
        <w:trPr>
          <w:cantSplit/>
        </w:trPr>
        <w:tc>
          <w:tcPr>
            <w:tcW w:type="dxa" w:w="115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Forced 100/100 simulation</w:t>
            </w:r>
          </w:p>
        </w:tc>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All five risk factors triggered simultaneously</w:t>
            </w:r>
          </w:p>
        </w:tc>
        <w:tc>
          <w:tcPr>
            <w:tcW w:type="dxa" w:w="181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16"/>
                <w:szCs w:val="16"/>
              </w:rPr>
              <w:t xml:space="preserve">BLOCK, tagged SIMULATION_FORCED_BLOCK</w:t>
            </w:r>
          </w:p>
        </w:tc>
      </w:tr>
    </w:tbl>
    <w:p>
      <w:pPr>
        <w:spacing w:before="200"/>
      </w:pP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4860"/>
      </w:tblGrid>
      <w:tr>
        <w:trPr>
          <w:trHeight w:val="1900" w:hRule="atLeast"/>
        </w:trPr>
        <w:tc>
          <w:tcPr>
            <w:tcW w:type="dxa" w:w="4860"/>
            <w:tcBorders>
              <w:top w:val="dashed" w:color="808080" w:sz="6"/>
              <w:left w:val="dashed" w:color="808080" w:sz="6"/>
              <w:bottom w:val="dashed" w:color="808080" w:sz="6"/>
              <w:right w:val="dashed" w:color="808080" w:sz="6"/>
            </w:tcBorders>
            <w:shd w:fill="F2F2F2" w:val="clear"/>
            <w:tcMar>
              <w:top w:type="dxa" w:w="200"/>
              <w:left w:type="dxa" w:w="260"/>
              <w:bottom w:type="dxa" w:w="200"/>
              <w:right w:type="dxa" w:w="260"/>
            </w:tcMar>
            <w:vAlign w:val="center"/>
          </w:tcPr>
          <w:p>
            <w:pPr>
              <w:spacing w:after="80"/>
              <w:jc w:val="center"/>
            </w:pPr>
            <w:r>
              <w:rPr>
                <w:rFonts w:ascii="Times New Roman" w:cs="Times New Roman" w:eastAsia="Times New Roman" w:hAnsi="Times New Roman"/>
                <w:b/>
                <w:bCs/>
                <w:i/>
                <w:iCs/>
                <w:color w:val="595959"/>
                <w:sz w:val="16"/>
                <w:szCs w:val="16"/>
              </w:rPr>
              <w:t xml:space="preserve">[ SCREENSHOT / DIAGRAM SPACE — NOT YET INSERTED ]</w:t>
            </w:r>
          </w:p>
          <w:p>
            <w:pPr>
              <w:jc w:val="center"/>
            </w:pPr>
            <w:r>
              <w:rPr>
                <w:rFonts w:ascii="Times New Roman" w:cs="Times New Roman" w:eastAsia="Times New Roman" w:hAnsi="Times New Roman"/>
                <w:i/>
                <w:iCs/>
                <w:color w:val="404040"/>
                <w:sz w:val="16"/>
                <w:szCs w:val="16"/>
              </w:rPr>
              <w:t xml:space="preserve">Place here: a screenshot of an Admin Panel audit-log inspector drawer open on a BLOCK decision, showing the full risk-factor breakdown, policy ID, and reason string.</w:t>
            </w:r>
          </w:p>
        </w:tc>
      </w:tr>
    </w:tbl>
    <w:p>
      <w:pPr>
        <w:spacing w:after="200" w:before="80"/>
        <w:jc w:val="center"/>
      </w:pPr>
      <w:r>
        <w:rPr>
          <w:rFonts w:ascii="Times New Roman" w:cs="Times New Roman" w:eastAsia="Times New Roman" w:hAnsi="Times New Roman"/>
          <w:sz w:val="16"/>
          <w:szCs w:val="16"/>
        </w:rPr>
        <w:t xml:space="preserve">Fig. 8. Audit-log inspector drawer showing a complete risk-factor breakdown for a single BLOCK decision.</w:t>
      </w:r>
    </w:p>
    <w:p>
      <w:pPr>
        <w:spacing w:after="160" w:before="280"/>
        <w:jc w:val="center"/>
      </w:pPr>
      <w:r>
        <w:rPr>
          <w:rFonts w:ascii="Times New Roman" w:cs="Times New Roman" w:eastAsia="Times New Roman" w:hAnsi="Times New Roman"/>
          <w:b/>
          <w:bCs/>
          <w:sz w:val="20"/>
          <w:szCs w:val="20"/>
        </w:rPr>
        <w:t xml:space="preserve">XIII. DISCUSSION</w:t>
      </w:r>
    </w:p>
    <w:p>
      <w:pPr>
        <w:spacing w:after="140" w:line="264"/>
        <w:jc w:val="both"/>
      </w:pPr>
      <w:r>
        <w:rPr>
          <w:rFonts w:ascii="Times New Roman" w:cs="Times New Roman" w:eastAsia="Times New Roman" w:hAnsi="Times New Roman"/>
          <w:sz w:val="19"/>
          <w:szCs w:val="19"/>
        </w:rPr>
        <w:t xml:space="preserve">The central architectural claim of this paper is that full-stack application design and Zero Trust security are not separable concerns bolted together at deployment time, but a single coherent ideology in which the middleware layer is a structural peer to the frontend and backend rather than a wrapper around either. Every one of the seven policies documented in Section VI is reachable only because the middleware sits directly in the Express request pipeline — a position no amount of frontend validation or backend business-logic checks could substitute for, since both are either untrusted (frontend) or too dispersed across many route handlers (backend) to audit consistently.</w:t>
      </w:r>
    </w:p>
    <w:p>
      <w:pPr>
        <w:spacing w:after="140" w:line="264"/>
        <w:jc w:val="both"/>
      </w:pPr>
      <w:r>
        <w:rPr>
          <w:rFonts w:ascii="Times New Roman" w:cs="Times New Roman" w:eastAsia="Times New Roman" w:hAnsi="Times New Roman"/>
          <w:sz w:val="19"/>
          <w:szCs w:val="19"/>
        </w:rPr>
        <w:t xml:space="preserve">The layered PDP logic described in Section VII — mandatory guard rules, then configurable policies, then a risk-threshold fallback — also demonstrates that Zero Trust enforcement benefits from defense-in-depth within the decision engine itself, not only across the network. A request that slips past one layer (for example, a role technically authorized for a privilege) is still caught by an orthogonal layer (the privilege-mismatch risk penalty), which is precisely the kind of overlapping control NIST SP 800-207 anticipates but does not itself prescribe in implementation detail.</w:t>
      </w:r>
    </w:p>
    <w:p>
      <w:pPr>
        <w:spacing w:after="140" w:line="264"/>
        <w:jc w:val="both"/>
      </w:pPr>
      <w:r>
        <w:rPr>
          <w:rFonts w:ascii="Times New Roman" w:cs="Times New Roman" w:eastAsia="Times New Roman" w:hAnsi="Times New Roman"/>
          <w:sz w:val="19"/>
          <w:szCs w:val="19"/>
        </w:rPr>
        <w:t xml:space="preserve">Finally, the liveness mechanism of Section IX is not a cosmetic dashboard feature: an audit trail an administrator cannot see updating in near real time is functionally equivalent to a batch log reviewed the next morning, by which point a compromised session may already have caused damage. Combining 1.5-second polling with BroadcastChannel push for KPIs specifically targets the metrics an administrator glances at first, closing the gap between decision and visibility to a scale useful for active incident response rather than only after-the-fact review.</w:t>
      </w:r>
    </w:p>
    <w:p>
      <w:pPr>
        <w:spacing w:after="160" w:before="280"/>
        <w:jc w:val="center"/>
      </w:pPr>
      <w:r>
        <w:rPr>
          <w:rFonts w:ascii="Times New Roman" w:cs="Times New Roman" w:eastAsia="Times New Roman" w:hAnsi="Times New Roman"/>
          <w:b/>
          <w:bCs/>
          <w:sz w:val="20"/>
          <w:szCs w:val="20"/>
        </w:rPr>
        <w:t xml:space="preserve">XIV. LIMITATIONS</w:t>
      </w:r>
    </w:p>
    <w:p>
      <w:pPr>
        <w:spacing w:after="140" w:line="264"/>
        <w:jc w:val="both"/>
      </w:pPr>
      <w:r>
        <w:rPr>
          <w:rFonts w:ascii="Times New Roman" w:cs="Times New Roman" w:eastAsia="Times New Roman" w:hAnsi="Times New Roman"/>
          <w:sz w:val="19"/>
          <w:szCs w:val="19"/>
        </w:rPr>
        <w:t xml:space="preserve">Several limitations, several of which the Trust Center itself discloses to end users, should be considered. The Step-Up PIN and demonstration passwords are not production-grade authentication factors and would need to be replaced by a real OTP or hardware-key provider before deployment. Some role boundaries — notably Safety Officer and Financial Analyst — are enforced more through endpoint-sensitivity risk scoring than through a fully explicit per-role privilege list, which works correctly in the current engine but would benefit from a more centralized, declarative authorization matrix as the platform grows. Risk signals remain deterministic heuristics rather than behavioral baselines; there is no device attestation, no cryptographic proof of location, and no real-time revocation propagation beyond the session-revoked header itself. Persistence via JSON files is adequate for demonstration but not for production write concurrency or long-term audit retention.</w:t>
      </w:r>
    </w:p>
    <w:p>
      <w:pPr>
        <w:spacing w:after="160" w:before="280"/>
        <w:jc w:val="center"/>
      </w:pPr>
      <w:r>
        <w:rPr>
          <w:rFonts w:ascii="Times New Roman" w:cs="Times New Roman" w:eastAsia="Times New Roman" w:hAnsi="Times New Roman"/>
          <w:b/>
          <w:bCs/>
          <w:sz w:val="20"/>
          <w:szCs w:val="20"/>
        </w:rPr>
        <w:t xml:space="preserve">XV. FUTURE WORK</w:t>
      </w:r>
    </w:p>
    <w:p>
      <w:pPr>
        <w:spacing w:after="140" w:line="264"/>
        <w:jc w:val="both"/>
      </w:pPr>
      <w:r>
        <w:rPr>
          <w:rFonts w:ascii="Times New Roman" w:cs="Times New Roman" w:eastAsia="Times New Roman" w:hAnsi="Times New Roman"/>
          <w:sz w:val="19"/>
          <w:szCs w:val="19"/>
        </w:rPr>
        <w:t xml:space="preserve">Priority next steps include replacing the demonstration Step-Up PIN with a production OTP/WebAuthn provider; migrating the JSON audit and policy stores to a transactional database while preserving the existing repository-pattern abstraction; replacing polling with WebSockets or Server-Sent Events to remove the 1.5-second latency ceiling entirely; adding device attestation and cryptographically verifiable location signals in place of client-reported headers; and layering a machine-learning-assisted anomaly detector on top of the existing explainable weighted model to catch behavioral patterns the fixed rule set was not designed to score.</w:t>
      </w:r>
    </w:p>
    <w:p>
      <w:pPr>
        <w:spacing w:after="160" w:before="280"/>
        <w:jc w:val="center"/>
      </w:pPr>
      <w:r>
        <w:rPr>
          <w:rFonts w:ascii="Times New Roman" w:cs="Times New Roman" w:eastAsia="Times New Roman" w:hAnsi="Times New Roman"/>
          <w:b/>
          <w:bCs/>
          <w:sz w:val="20"/>
          <w:szCs w:val="20"/>
        </w:rPr>
        <w:t xml:space="preserve">XVI. CONCLUSION</w:t>
      </w:r>
    </w:p>
    <w:p>
      <w:pPr>
        <w:spacing w:after="140" w:line="264"/>
        <w:jc w:val="both"/>
      </w:pPr>
      <w:r>
        <w:rPr>
          <w:rFonts w:ascii="Times New Roman" w:cs="Times New Roman" w:eastAsia="Times New Roman" w:hAnsi="Times New Roman"/>
          <w:sz w:val="19"/>
          <w:szCs w:val="19"/>
        </w:rPr>
        <w:t xml:space="preserve">This paper presented TransitOps, a full-stack fleet operations platform in which all seven elements of a Zero Trust Continuous Authorization architecture — administrative lockdown, least-privilege role-matrix enforcement, continuous session revocation, dispatch step-up verification, fleet-record protection, financial read-only downgrade, and a universal critical-risk interceptor — are implemented directly inside a single Express middleware layer rather than delegated to an external broker. Walking through the actual engine code and representative request scenarios showed that the system's layered PDP logic, Step-Up MFA credit mechanism, and dual polling-plus-BroadcastChannel liveness model combine into a coherent full-stack-plus-middleware security ideology: authorization is continuously re-evaluated on every request, every decision is explainable down to the individual risk factor, and every decision is visible to administrators and end users alike within seconds rather than after the fact.</w:t>
      </w:r>
    </w:p>
    <w:p>
      <w:pPr>
        <w:spacing w:after="60" w:before="200"/>
      </w:pPr>
      <w:r>
        <w:rPr>
          <w:rFonts w:ascii="Times New Roman" w:cs="Times New Roman" w:eastAsia="Times New Roman" w:hAnsi="Times New Roman"/>
          <w:b/>
          <w:bCs/>
          <w:i/>
          <w:iCs/>
          <w:sz w:val="19"/>
          <w:szCs w:val="19"/>
        </w:rPr>
        <w:t xml:space="preserve">Acknowledgment</w:t>
      </w:r>
    </w:p>
    <w:p>
      <w:pPr>
        <w:spacing w:after="140" w:line="264"/>
        <w:jc w:val="both"/>
      </w:pPr>
      <w:r>
        <w:rPr>
          <w:rFonts w:ascii="Times New Roman" w:cs="Times New Roman" w:eastAsia="Times New Roman" w:hAnsi="Times New Roman"/>
          <w:sz w:val="19"/>
          <w:szCs w:val="19"/>
        </w:rPr>
        <w:t xml:space="preserve">The authors thank Dr. K. Beulah (Course Mentor) and Mr. K. V. S. S. Prakash (Course Coordinator), Department of CSE (AI &amp; ML) and Department of IT respectively, Gayatri Vidya Parishad College of Engineering (Autonomous), for their guidance, and EduSkills, AICTE, and Zscaler for supporting the Zero Trust Cloud Security Virtual Internship under which this work was carried out.</w:t>
      </w:r>
    </w:p>
    <w:p>
      <w:pPr>
        <w:spacing w:after="140" w:before="260"/>
        <w:jc w:val="center"/>
      </w:pPr>
      <w:r>
        <w:rPr>
          <w:rFonts w:ascii="Times New Roman" w:cs="Times New Roman" w:eastAsia="Times New Roman" w:hAnsi="Times New Roman"/>
          <w:b/>
          <w:bCs/>
          <w:sz w:val="20"/>
          <w:szCs w:val="20"/>
        </w:rPr>
        <w:t xml:space="preserve">REFERENCES</w:t>
      </w:r>
    </w:p>
    <w:p>
      <w:pPr>
        <w:spacing w:after="90" w:line="250"/>
        <w:ind w:left="260" w:hanging="260"/>
        <w:jc w:val="both"/>
      </w:pPr>
      <w:r>
        <w:rPr>
          <w:rFonts w:ascii="Times New Roman" w:cs="Times New Roman" w:eastAsia="Times New Roman" w:hAnsi="Times New Roman"/>
          <w:sz w:val="16"/>
          <w:szCs w:val="16"/>
        </w:rPr>
        <w:t xml:space="preserve">[1]  National Institute of Standards and Technology, "Zero Trust Architecture," NIST Special Publication 800-207, Aug. 2020.</w:t>
      </w:r>
    </w:p>
    <w:p>
      <w:pPr>
        <w:spacing w:after="90" w:line="250"/>
        <w:ind w:left="260" w:hanging="260"/>
        <w:jc w:val="both"/>
      </w:pPr>
      <w:r>
        <w:rPr>
          <w:rFonts w:ascii="Times New Roman" w:cs="Times New Roman" w:eastAsia="Times New Roman" w:hAnsi="Times New Roman"/>
          <w:sz w:val="16"/>
          <w:szCs w:val="16"/>
        </w:rPr>
        <w:t xml:space="preserve">[2]  R. Ward and B. Beyer, "BeyondCorp: A New Approach to Enterprise Security," Google Research, ;login: vol. 39, no. 6, 2014.</w:t>
      </w:r>
    </w:p>
    <w:p>
      <w:pPr>
        <w:spacing w:after="90" w:line="250"/>
        <w:ind w:left="260" w:hanging="260"/>
        <w:jc w:val="both"/>
      </w:pPr>
      <w:r>
        <w:rPr>
          <w:rFonts w:ascii="Times New Roman" w:cs="Times New Roman" w:eastAsia="Times New Roman" w:hAnsi="Times New Roman"/>
          <w:sz w:val="16"/>
          <w:szCs w:val="16"/>
        </w:rPr>
        <w:t xml:space="preserve">[3]  National Institute of Standards and Technology, "Zero Trust Architecture for Cloud-Native Applications," NIST Special Publication 800-207A (draft), 2023.</w:t>
      </w:r>
    </w:p>
    <w:p>
      <w:pPr>
        <w:spacing w:after="90" w:line="250"/>
        <w:ind w:left="260" w:hanging="260"/>
        <w:jc w:val="both"/>
      </w:pPr>
      <w:r>
        <w:rPr>
          <w:rFonts w:ascii="Times New Roman" w:cs="Times New Roman" w:eastAsia="Times New Roman" w:hAnsi="Times New Roman"/>
          <w:sz w:val="16"/>
          <w:szCs w:val="16"/>
        </w:rPr>
        <w:t xml:space="preserve">[4]  B. Osborn, J. McWilliams, B. Beyer, and M. Saltonstall, "BeyondCorp: Design to Deployment at Google — The Access Proxy," Google Research, ;login: vol. 41, no. 4, 2016.</w:t>
      </w:r>
    </w:p>
    <w:p>
      <w:pPr>
        <w:spacing w:after="90" w:line="250"/>
        <w:ind w:left="260" w:hanging="260"/>
        <w:jc w:val="both"/>
      </w:pPr>
      <w:r>
        <w:rPr>
          <w:rFonts w:ascii="Times New Roman" w:cs="Times New Roman" w:eastAsia="Times New Roman" w:hAnsi="Times New Roman"/>
          <w:sz w:val="16"/>
          <w:szCs w:val="16"/>
        </w:rPr>
        <w:t xml:space="preserve">[5]  National Institute of Standards and Technology, Zero Trust Architecture Project — Core Components Documentation (Policy Engine, Policy Administrator, Policy Enforcement Point), NIST National Cybersecurity Center of Excellence (NCCoE), 2022.</w:t>
      </w:r>
    </w:p>
    <w:p>
      <w:pPr>
        <w:spacing w:after="90" w:line="250"/>
        <w:ind w:left="260" w:hanging="260"/>
        <w:jc w:val="both"/>
      </w:pPr>
      <w:r>
        <w:rPr>
          <w:rFonts w:ascii="Times New Roman" w:cs="Times New Roman" w:eastAsia="Times New Roman" w:hAnsi="Times New Roman"/>
          <w:sz w:val="16"/>
          <w:szCs w:val="16"/>
        </w:rPr>
        <w:t xml:space="preserve">[6]  National Institute of Standards and Technology, NIST Zero Trust Architecture Project, NCCoE Practice Guide SP 1800-35, 2023.</w:t>
      </w:r>
    </w:p>
    <w:sectPr>
      <w:type w:val="continuous"/>
      <w:pgSz w:w="12240" w:h="15840" w:orient="portrait"/>
      <w:pgMar w:top="1080" w:right="1080" w:bottom="1080" w:left="108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2026-09-10T08:36:51.897Z</dcterms:created>
  <dcterms:modified xsi:type="dcterms:W3CDTF">2026-09-10T08:36:51.906Z</dcterms:modified>
</cp:coreProperties>
</file>

<file path=docProps/custom.xml><?xml version="1.0" encoding="utf-8"?>
<Properties xmlns="http://schemas.openxmlformats.org/officeDocument/2006/custom-properties" xmlns:vt="http://schemas.openxmlformats.org/officeDocument/2006/docPropsVTypes"/>
</file>