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191C2E"/>
          </w:tcPr>
          <w:p>
            <w:pPr>
              <w:spacing w:before="280" w:after="280"/>
            </w:pPr>
            <w:r>
              <w:rPr>
                <w:rFonts w:ascii="Calibri" w:hAnsi="Calibri"/>
                <w:b w:val="0"/>
                <w:color w:val="FFFFFF"/>
                <w:sz w:val="44"/>
              </w:rPr>
              <w:t>Arnold</w:t>
            </w:r>
            <w:r>
              <w:rPr>
                <w:rFonts w:ascii="Calibri" w:hAnsi="Calibri"/>
                <w:b/>
                <w:color w:val="C9A355"/>
                <w:sz w:val="44"/>
              </w:rPr>
              <w:t xml:space="preserve"> Ruijter IT</w:t>
            </w:r>
          </w:p>
        </w:tc>
      </w:tr>
    </w:tbl>
    <w:p/>
    <w:p>
      <w:pPr>
        <w:spacing w:before="120" w:after="40"/>
      </w:pPr>
      <w:r>
        <w:rPr>
          <w:rFonts w:ascii="Calibri" w:hAnsi="Calibri"/>
          <w:b/>
          <w:color w:val="191C2E"/>
          <w:sz w:val="56"/>
        </w:rPr>
        <w:t>Architise</w:t>
      </w:r>
    </w:p>
    <w:p>
      <w:pPr>
        <w:spacing w:after="480"/>
      </w:pPr>
      <w:r>
        <w:rPr>
          <w:rFonts w:ascii="Calibri" w:hAnsi="Calibri"/>
          <w:color w:val="555878"/>
          <w:sz w:val="32"/>
        </w:rPr>
        <w:t>Customer Deployment &amp; Licensing Guide</w:t>
      </w:r>
    </w:p>
    <w:p>
      <w:pPr>
        <w:pBdr>
          <w:bottom w:val="single" w:sz="8" w:space="1" w:color="C9A355"/>
        </w:pBdr>
        <w:spacing w:before="0" w:after="240"/>
      </w:pPr>
    </w:p>
    <w:p>
      <w:pPr>
        <w:spacing w:after="80"/>
      </w:pPr>
      <w:r>
        <w:rPr>
          <w:rFonts w:ascii="Calibri" w:hAnsi="Calibri"/>
          <w:color w:val="555878"/>
          <w:sz w:val="20"/>
        </w:rPr>
        <w:t>Version 1.0  ·  April 2026</w:t>
      </w:r>
    </w:p>
    <w:p>
      <w:r>
        <w:rPr>
          <w:rFonts w:ascii="Calibri" w:hAnsi="Calibri"/>
          <w:i/>
          <w:color w:val="555878"/>
          <w:sz w:val="20"/>
        </w:rPr>
        <w:t>Internal use — not for distribution</w:t>
      </w:r>
    </w:p>
    <w:p>
      <w:r>
        <w:br w:type="page"/>
      </w:r>
    </w:p>
    <w:p>
      <w:pPr>
        <w:spacing w:before="360" w:after="120"/>
        <w:pBdr>
          <w:top w:val="single" w:sz="8" w:space="4" w:color="C9A355"/>
        </w:pBdr>
      </w:pPr>
      <w:r>
        <w:rPr>
          <w:rFonts w:ascii="Calibri" w:hAnsi="Calibri"/>
          <w:b/>
          <w:color w:val="191C2E"/>
          <w:sz w:val="30"/>
        </w:rPr>
        <w:t>1. What You Need Before You Start</w:t>
      </w:r>
    </w:p>
    <w:p>
      <w:pPr>
        <w:spacing w:after="80"/>
      </w:pPr>
      <w:r>
        <w:rPr>
          <w:rFonts w:ascii="Calibri" w:hAnsi="Calibri"/>
          <w:sz w:val="22"/>
        </w:rPr>
        <w:t>Gather the following information from the customer before touching any files.</w:t>
      </w:r>
    </w:p>
    <w:p>
      <w:pPr>
        <w:spacing w:before="240" w:after="80"/>
      </w:pPr>
      <w:r>
        <w:rPr>
          <w:rFonts w:ascii="Calibri" w:hAnsi="Calibri"/>
          <w:b/>
          <w:color w:val="2B2E45"/>
          <w:sz w:val="24"/>
        </w:rPr>
        <w:t>1.1  From the customer</w:t>
      </w:r>
    </w:p>
    <w:p>
      <w:pPr>
        <w:pStyle w:val="ListBullet"/>
        <w:spacing w:after="40"/>
        <w:ind w:left="283"/>
      </w:pPr>
      <w:r>
        <w:rPr>
          <w:rFonts w:ascii="Calibri" w:hAnsi="Calibri"/>
          <w:b/>
          <w:sz w:val="22"/>
        </w:rPr>
        <w:t>The exact domain name(s)</w:t>
      </w:r>
      <w:r>
        <w:rPr>
          <w:rFonts w:ascii="Calibri" w:hAnsi="Calibri"/>
          <w:sz w:val="22"/>
        </w:rPr>
        <w:t xml:space="preserve"> where the tool will be hosted, e.g. archimate.acme.com</w:t>
      </w:r>
    </w:p>
    <w:p>
      <w:pPr>
        <w:pStyle w:val="ListBullet"/>
        <w:spacing w:after="40"/>
        <w:ind w:left="283"/>
      </w:pPr>
      <w:r>
        <w:rPr>
          <w:rFonts w:ascii="Calibri" w:hAnsi="Calibri"/>
          <w:b/>
          <w:sz w:val="22"/>
        </w:rPr>
        <w:t>Whether they will run Docker</w:t>
      </w:r>
      <w:r>
        <w:rPr>
          <w:rFonts w:ascii="Calibri" w:hAnsi="Calibri"/>
          <w:sz w:val="22"/>
        </w:rPr>
        <w:t xml:space="preserve"> on a VM/VPS or on a Kubernetes / container platform</w:t>
      </w:r>
    </w:p>
    <w:p>
      <w:pPr>
        <w:pStyle w:val="ListBullet"/>
        <w:spacing w:after="40"/>
        <w:ind w:left="283"/>
      </w:pPr>
      <w:r>
        <w:rPr>
          <w:rFonts w:ascii="Calibri" w:hAnsi="Calibri"/>
          <w:b/>
          <w:sz w:val="22"/>
        </w:rPr>
        <w:t>The port they want to expose</w:t>
      </w:r>
      <w:r>
        <w:rPr>
          <w:rFonts w:ascii="Calibri" w:hAnsi="Calibri"/>
          <w:sz w:val="22"/>
        </w:rPr>
        <w:t xml:space="preserve"> (default: 8080)</w:t>
      </w:r>
    </w:p>
    <w:p>
      <w:pPr>
        <w:pStyle w:val="ListBullet"/>
        <w:spacing w:after="40"/>
        <w:ind w:left="283"/>
      </w:pPr>
      <w:r>
        <w:rPr>
          <w:rFonts w:ascii="Calibri" w:hAnsi="Calibri"/>
          <w:b/>
          <w:sz w:val="22"/>
        </w:rPr>
        <w:t>Contact person with SSH</w:t>
      </w:r>
      <w:r>
        <w:rPr>
          <w:rFonts w:ascii="Calibri" w:hAnsi="Calibri"/>
          <w:sz w:val="22"/>
        </w:rPr>
        <w:t xml:space="preserve"> / server access for the deployment step</w:t>
      </w:r>
    </w:p>
    <w:p>
      <w:pPr>
        <w:pStyle w:val="ListBullet"/>
        <w:spacing w:after="40"/>
        <w:ind w:left="283"/>
      </w:pPr>
      <w:r>
        <w:rPr>
          <w:rFonts w:ascii="Calibri" w:hAnsi="Calibri"/>
          <w:b/>
          <w:sz w:val="22"/>
        </w:rPr>
        <w:t>Confirmation of agreed license end date</w:t>
      </w:r>
      <w:r>
        <w:rPr>
          <w:rFonts w:ascii="Calibri" w:hAnsi="Calibri"/>
          <w:sz w:val="22"/>
        </w:rPr>
      </w:r>
    </w:p>
    <w:p>
      <w:pPr>
        <w:spacing w:before="240" w:after="80"/>
      </w:pPr>
      <w:r>
        <w:rPr>
          <w:rFonts w:ascii="Calibri" w:hAnsi="Calibri"/>
          <w:b/>
          <w:color w:val="2B2E45"/>
          <w:sz w:val="24"/>
        </w:rPr>
        <w:t>1.2  What you prepare</w:t>
      </w:r>
    </w:p>
    <w:p>
      <w:pPr>
        <w:pStyle w:val="ListBullet"/>
        <w:spacing w:after="40"/>
        <w:ind w:left="283"/>
      </w:pPr>
      <w:r>
        <w:rPr>
          <w:rFonts w:ascii="Calibri" w:hAnsi="Calibri"/>
          <w:b/>
          <w:sz w:val="22"/>
        </w:rPr>
        <w:t>A signed order or email confirmation</w:t>
      </w:r>
      <w:r>
        <w:rPr>
          <w:rFonts w:ascii="Calibri" w:hAnsi="Calibri"/>
          <w:sz w:val="22"/>
        </w:rPr>
        <w:t xml:space="preserve"> of the license agreement (keep on file)</w:t>
      </w:r>
    </w:p>
    <w:p>
      <w:pPr>
        <w:pStyle w:val="ListBullet"/>
        <w:spacing w:after="40"/>
        <w:ind w:left="283"/>
      </w:pPr>
      <w:r>
        <w:rPr>
          <w:rFonts w:ascii="Calibri" w:hAnsi="Calibri"/>
          <w:b/>
          <w:sz w:val="22"/>
        </w:rPr>
        <w:t>The license key you will embed</w:t>
      </w:r>
      <w:r>
        <w:rPr>
          <w:rFonts w:ascii="Calibri" w:hAnsi="Calibri"/>
          <w:sz w:val="22"/>
        </w:rPr>
        <w:t xml:space="preserve"> — decide on a naming convention, e.g. AR-2026-ACME-001</w:t>
      </w:r>
    </w:p>
    <w:p>
      <w:pPr>
        <w:pStyle w:val="ListBullet"/>
        <w:spacing w:after="40"/>
        <w:ind w:left="283"/>
      </w:pPr>
      <w:r>
        <w:rPr>
          <w:rFonts w:ascii="Calibri" w:hAnsi="Calibri"/>
          <w:b/>
          <w:sz w:val="22"/>
        </w:rPr>
        <w:t>A record in your own admin log</w:t>
      </w:r>
      <w:r>
        <w:rPr>
          <w:rFonts w:ascii="Calibri" w:hAnsi="Calibri"/>
          <w:sz w:val="22"/>
        </w:rPr>
        <w:t>: customer, domain, key, expiry date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3CD"/>
            <w:tcBorders>
              <w:top w:val="single" w:sz="6" w:space="0" w:color="C9A355"/>
              <w:left w:val="single" w:sz="12" w:space="0" w:color="C9A355"/>
              <w:bottom w:val="single" w:sz="6" w:space="0" w:color="C9A355"/>
              <w:right w:val="single" w:sz="6" w:space="0" w:color="C9A355"/>
            </w:tcBorders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0"/>
              </w:rPr>
              <w:t xml:space="preserve">Note — </w:t>
            </w:r>
            <w:r>
              <w:rPr>
                <w:rFonts w:ascii="Calibri" w:hAnsi="Calibri"/>
                <w:sz w:val="20"/>
              </w:rPr>
              <w:t>The license is embedded directly in index.html before building the Docker image. Never share an unlicensed build — the amber warning banner will appear on any unknown domain, but it is still better practice to ship a file that already has the correct values filled in.</w:t>
            </w:r>
          </w:p>
        </w:tc>
      </w:tr>
    </w:tbl>
    <w:p/>
    <w:p>
      <w:pPr>
        <w:spacing w:before="360" w:after="120"/>
        <w:pBdr>
          <w:top w:val="single" w:sz="8" w:space="4" w:color="C9A355"/>
        </w:pBdr>
      </w:pPr>
      <w:r>
        <w:rPr>
          <w:rFonts w:ascii="Calibri" w:hAnsi="Calibri"/>
          <w:b/>
          <w:color w:val="191C2E"/>
          <w:sz w:val="30"/>
        </w:rPr>
        <w:t>2. Setting the License in index.html</w:t>
      </w:r>
    </w:p>
    <w:p>
      <w:pPr>
        <w:spacing w:after="80"/>
      </w:pPr>
      <w:r>
        <w:rPr>
          <w:rFonts w:ascii="Calibri" w:hAnsi="Calibri"/>
          <w:sz w:val="22"/>
        </w:rPr>
        <w:t>The license is a small JavaScript object near the top of the script section. Open index.html in any text editor and search for LICENSE.</w:t>
      </w:r>
    </w:p>
    <w:p>
      <w:pPr>
        <w:spacing w:before="240" w:after="80"/>
      </w:pPr>
      <w:r>
        <w:rPr>
          <w:rFonts w:ascii="Calibri" w:hAnsi="Calibri"/>
          <w:b/>
          <w:color w:val="2B2E45"/>
          <w:sz w:val="24"/>
        </w:rPr>
        <w:t>2.1  Find the LICENSE block</w:t>
      </w:r>
    </w:p>
    <w:p>
      <w:pPr>
        <w:spacing w:after="80"/>
      </w:pPr>
      <w:r>
        <w:rPr>
          <w:rFonts w:ascii="Calibri" w:hAnsi="Calibri"/>
          <w:sz w:val="22"/>
        </w:rPr>
        <w:t>It looks like this (with blank values in the base file):</w:t>
      </w:r>
    </w:p>
    <w:p>
      <w:pPr>
        <w:spacing w:after="40"/>
        <w:ind w:left="567"/>
        <w:shd w:val="clear" w:color="auto" w:fill="F0F0F0"/>
      </w:pPr>
      <w:r>
        <w:rPr>
          <w:rFonts w:ascii="Courier New" w:hAnsi="Courier New"/>
          <w:color w:val="1A1A6C"/>
          <w:sz w:val="18"/>
        </w:rPr>
        <w:t>const LICENSE = {</w:t>
      </w:r>
    </w:p>
    <w:p>
      <w:pPr>
        <w:spacing w:after="40"/>
        <w:ind w:left="567"/>
        <w:shd w:val="clear" w:color="auto" w:fill="F0F0F0"/>
      </w:pPr>
      <w:r>
        <w:rPr>
          <w:rFonts w:ascii="Courier New" w:hAnsi="Courier New"/>
          <w:color w:val="1A1A6C"/>
          <w:sz w:val="18"/>
        </w:rPr>
        <w:t xml:space="preserve">  key:     '',</w:t>
      </w:r>
    </w:p>
    <w:p>
      <w:pPr>
        <w:spacing w:after="40"/>
        <w:ind w:left="567"/>
        <w:shd w:val="clear" w:color="auto" w:fill="F0F0F0"/>
      </w:pPr>
      <w:r>
        <w:rPr>
          <w:rFonts w:ascii="Courier New" w:hAnsi="Courier New"/>
          <w:color w:val="1A1A6C"/>
          <w:sz w:val="18"/>
        </w:rPr>
        <w:t xml:space="preserve">  company: '',</w:t>
      </w:r>
    </w:p>
    <w:p>
      <w:pPr>
        <w:spacing w:after="40"/>
        <w:ind w:left="567"/>
        <w:shd w:val="clear" w:color="auto" w:fill="F0F0F0"/>
      </w:pPr>
      <w:r>
        <w:rPr>
          <w:rFonts w:ascii="Courier New" w:hAnsi="Courier New"/>
          <w:color w:val="1A1A6C"/>
          <w:sz w:val="18"/>
        </w:rPr>
        <w:t xml:space="preserve">  domain:  '',</w:t>
      </w:r>
    </w:p>
    <w:p>
      <w:pPr>
        <w:spacing w:after="40"/>
        <w:ind w:left="567"/>
        <w:shd w:val="clear" w:color="auto" w:fill="F0F0F0"/>
      </w:pPr>
      <w:r>
        <w:rPr>
          <w:rFonts w:ascii="Courier New" w:hAnsi="Courier New"/>
          <w:color w:val="1A1A6C"/>
          <w:sz w:val="18"/>
        </w:rPr>
        <w:t xml:space="preserve">  expires: ''</w:t>
      </w:r>
    </w:p>
    <w:p>
      <w:pPr>
        <w:spacing w:after="40"/>
        <w:ind w:left="567"/>
        <w:shd w:val="clear" w:color="auto" w:fill="F0F0F0"/>
      </w:pPr>
      <w:r>
        <w:rPr>
          <w:rFonts w:ascii="Courier New" w:hAnsi="Courier New"/>
          <w:color w:val="1A1A6C"/>
          <w:sz w:val="18"/>
        </w:rPr>
        <w:t>};</w:t>
      </w:r>
    </w:p>
    <w:p>
      <w:pPr>
        <w:spacing w:before="240" w:after="80"/>
      </w:pPr>
      <w:r>
        <w:rPr>
          <w:rFonts w:ascii="Calibri" w:hAnsi="Calibri"/>
          <w:b/>
          <w:color w:val="2B2E45"/>
          <w:sz w:val="24"/>
        </w:rPr>
        <w:t>2.2  Fill in the four fields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814"/>
            <w:shd w:val="clear" w:color="auto" w:fill="2B2E45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3118"/>
            <w:shd w:val="clear" w:color="auto" w:fill="2B2E45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Example value</w:t>
            </w:r>
          </w:p>
        </w:tc>
        <w:tc>
          <w:tcPr>
            <w:tcW w:type="dxa" w:w="4139"/>
            <w:shd w:val="clear" w:color="auto" w:fill="2B2E45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r>
              <w:rPr>
                <w:rFonts w:ascii="Courier New" w:hAnsi="Courier New"/>
                <w:b/>
                <w:sz w:val="20"/>
              </w:rPr>
              <w:t>key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AR-2026-ACME-001</w:t>
            </w:r>
          </w:p>
        </w:tc>
        <w:tc>
          <w:tcPr>
            <w:tcW w:type="dxa" w:w="4139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Your internal reference. Not validated cryptographically — it is a label for your records.</w:t>
            </w:r>
          </w:p>
        </w:tc>
      </w:tr>
      <w:tr>
        <w:tc>
          <w:tcPr>
            <w:tcW w:type="dxa" w:w="1814"/>
            <w:shd w:val="clear" w:color="auto" w:fill="F5F5F5"/>
          </w:tcPr>
          <w:p>
            <w:r>
              <w:rPr>
                <w:rFonts w:ascii="Courier New" w:hAnsi="Courier New"/>
                <w:b/>
                <w:sz w:val="20"/>
              </w:rPr>
              <w:t>company</w:t>
            </w:r>
          </w:p>
        </w:tc>
        <w:tc>
          <w:tcPr>
            <w:tcW w:type="dxa" w:w="3118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Acme Corporation</w:t>
            </w:r>
          </w:p>
        </w:tc>
        <w:tc>
          <w:tcPr>
            <w:tcW w:type="dxa" w:w="4139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Displayed as "✓ Acme Corporation" in the tool header when on the licensed domain.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r>
              <w:rPr>
                <w:rFonts w:ascii="Courier New" w:hAnsi="Courier New"/>
                <w:b/>
                <w:sz w:val="20"/>
              </w:rPr>
              <w:t>domain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archimate.acme.com</w:t>
            </w:r>
          </w:p>
        </w:tc>
        <w:tc>
          <w:tcPr>
            <w:tcW w:type="dxa" w:w="4139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Exact hostname the tool is served from. Must match window.location.hostname precisely (no protocol, no trailing slash).</w:t>
            </w:r>
          </w:p>
        </w:tc>
      </w:tr>
      <w:tr>
        <w:tc>
          <w:tcPr>
            <w:tcW w:type="dxa" w:w="1814"/>
            <w:shd w:val="clear" w:color="auto" w:fill="F5F5F5"/>
          </w:tcPr>
          <w:p>
            <w:r>
              <w:rPr>
                <w:rFonts w:ascii="Courier New" w:hAnsi="Courier New"/>
                <w:b/>
                <w:sz w:val="20"/>
              </w:rPr>
              <w:t>expires</w:t>
            </w:r>
          </w:p>
        </w:tc>
        <w:tc>
          <w:tcPr>
            <w:tcW w:type="dxa" w:w="3118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2027-01-01</w:t>
            </w:r>
          </w:p>
        </w:tc>
        <w:tc>
          <w:tcPr>
            <w:tcW w:type="dxa" w:w="4139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ISO date string (YYYY-MM-DD). The banner appears after this date on non-exempt domains.</w:t>
            </w:r>
          </w:p>
        </w:tc>
      </w:tr>
    </w:tbl>
    <w:p/>
    <w:p>
      <w:pPr>
        <w:spacing w:before="240" w:after="80"/>
      </w:pPr>
      <w:r>
        <w:rPr>
          <w:rFonts w:ascii="Calibri" w:hAnsi="Calibri"/>
          <w:b/>
          <w:color w:val="2B2E45"/>
          <w:sz w:val="24"/>
        </w:rPr>
        <w:t>2.3  Result after editing</w:t>
      </w:r>
    </w:p>
    <w:p>
      <w:pPr>
        <w:spacing w:after="40"/>
        <w:ind w:left="567"/>
        <w:shd w:val="clear" w:color="auto" w:fill="F0F0F0"/>
      </w:pPr>
      <w:r>
        <w:rPr>
          <w:rFonts w:ascii="Courier New" w:hAnsi="Courier New"/>
          <w:color w:val="1A1A6C"/>
          <w:sz w:val="18"/>
        </w:rPr>
        <w:t>const LICENSE = {</w:t>
      </w:r>
    </w:p>
    <w:p>
      <w:pPr>
        <w:spacing w:after="40"/>
        <w:ind w:left="567"/>
        <w:shd w:val="clear" w:color="auto" w:fill="F0F0F0"/>
      </w:pPr>
      <w:r>
        <w:rPr>
          <w:rFonts w:ascii="Courier New" w:hAnsi="Courier New"/>
          <w:color w:val="1A1A6C"/>
          <w:sz w:val="18"/>
        </w:rPr>
        <w:t xml:space="preserve">  key:     'AR-2026-ACME-001',</w:t>
      </w:r>
    </w:p>
    <w:p>
      <w:pPr>
        <w:spacing w:after="40"/>
        <w:ind w:left="567"/>
        <w:shd w:val="clear" w:color="auto" w:fill="F0F0F0"/>
      </w:pPr>
      <w:r>
        <w:rPr>
          <w:rFonts w:ascii="Courier New" w:hAnsi="Courier New"/>
          <w:color w:val="1A1A6C"/>
          <w:sz w:val="18"/>
        </w:rPr>
        <w:t xml:space="preserve">  company: 'Acme Corporation',</w:t>
      </w:r>
    </w:p>
    <w:p>
      <w:pPr>
        <w:spacing w:after="40"/>
        <w:ind w:left="567"/>
        <w:shd w:val="clear" w:color="auto" w:fill="F0F0F0"/>
      </w:pPr>
      <w:r>
        <w:rPr>
          <w:rFonts w:ascii="Courier New" w:hAnsi="Courier New"/>
          <w:color w:val="1A1A6C"/>
          <w:sz w:val="18"/>
        </w:rPr>
        <w:t xml:space="preserve">  domain:  'archimate.acme.com',</w:t>
      </w:r>
    </w:p>
    <w:p>
      <w:pPr>
        <w:spacing w:after="40"/>
        <w:ind w:left="567"/>
        <w:shd w:val="clear" w:color="auto" w:fill="F0F0F0"/>
      </w:pPr>
      <w:r>
        <w:rPr>
          <w:rFonts w:ascii="Courier New" w:hAnsi="Courier New"/>
          <w:color w:val="1A1A6C"/>
          <w:sz w:val="18"/>
        </w:rPr>
        <w:t xml:space="preserve">  expires: '2027-01-01'</w:t>
      </w:r>
    </w:p>
    <w:p>
      <w:pPr>
        <w:spacing w:after="40"/>
        <w:ind w:left="567"/>
        <w:shd w:val="clear" w:color="auto" w:fill="F0F0F0"/>
      </w:pPr>
      <w:r>
        <w:rPr>
          <w:rFonts w:ascii="Courier New" w:hAnsi="Courier New"/>
          <w:color w:val="1A1A6C"/>
          <w:sz w:val="18"/>
        </w:rPr>
        <w:t>};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8F4FD"/>
            <w:tcBorders>
              <w:top w:val="single" w:sz="6" w:space="0" w:color="5AABDD"/>
              <w:left w:val="single" w:sz="12" w:space="0" w:color="5AABDD"/>
              <w:bottom w:val="single" w:sz="6" w:space="0" w:color="5AABDD"/>
              <w:right w:val="single" w:sz="6" w:space="0" w:color="5AABDD"/>
            </w:tcBorders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0"/>
              </w:rPr>
              <w:t xml:space="preserve">Tip — </w:t>
            </w:r>
            <w:r>
              <w:rPr>
                <w:rFonts w:ascii="Calibri" w:hAnsi="Calibri"/>
                <w:sz w:val="20"/>
              </w:rPr>
              <w:t>If the customer uses multiple subdomains (e.g. staging and production), you need to build two separate images, each with the correct domain value. The check is an exact hostname match.</w:t>
            </w:r>
          </w:p>
        </w:tc>
      </w:tr>
    </w:tbl>
    <w:p/>
    <w:p>
      <w:pPr>
        <w:spacing w:before="360" w:after="120"/>
        <w:pBdr>
          <w:top w:val="single" w:sz="8" w:space="4" w:color="C9A355"/>
        </w:pBdr>
      </w:pPr>
      <w:r>
        <w:rPr>
          <w:rFonts w:ascii="Calibri" w:hAnsi="Calibri"/>
          <w:b/>
          <w:color w:val="191C2E"/>
          <w:sz w:val="30"/>
        </w:rPr>
        <w:t>3. Docker Deployment — Step by Step</w:t>
      </w:r>
    </w:p>
    <w:p>
      <w:pPr>
        <w:spacing w:before="240" w:after="80"/>
      </w:pPr>
      <w:r>
        <w:rPr>
          <w:rFonts w:ascii="Calibri" w:hAnsi="Calibri"/>
          <w:b/>
          <w:color w:val="2B2E45"/>
          <w:sz w:val="24"/>
        </w:rPr>
        <w:t>3.1  Files in the project folder</w:t>
      </w:r>
    </w:p>
    <w:p>
      <w:pPr>
        <w:spacing w:after="80"/>
      </w:pPr>
      <w:r>
        <w:rPr>
          <w:rFonts w:ascii="Calibri" w:hAnsi="Calibri"/>
          <w:sz w:val="22"/>
        </w:rPr>
        <w:t>The following three files ship alongside index.html:</w:t>
      </w:r>
    </w:p>
    <w:p>
      <w:pPr>
        <w:pStyle w:val="ListBullet"/>
        <w:spacing w:after="40"/>
        <w:ind w:left="283"/>
      </w:pPr>
      <w:r>
        <w:rPr>
          <w:rFonts w:ascii="Calibri" w:hAnsi="Calibri"/>
          <w:sz w:val="22"/>
        </w:rPr>
        <w:t>Dockerfile  — builds an nginx:alpine image with your HTML file inside</w:t>
      </w:r>
    </w:p>
    <w:p>
      <w:pPr>
        <w:pStyle w:val="ListBullet"/>
        <w:spacing w:after="40"/>
        <w:ind w:left="283"/>
      </w:pPr>
      <w:r>
        <w:rPr>
          <w:rFonts w:ascii="Calibri" w:hAnsi="Calibri"/>
          <w:sz w:val="22"/>
        </w:rPr>
        <w:t>nginx.conf  — security-hardened config (CSP, X-Frame-Options, gzip)</w:t>
      </w:r>
    </w:p>
    <w:p>
      <w:pPr>
        <w:pStyle w:val="ListBullet"/>
        <w:spacing w:after="40"/>
        <w:ind w:left="283"/>
      </w:pPr>
      <w:r>
        <w:rPr>
          <w:rFonts w:ascii="Calibri" w:hAnsi="Calibri"/>
          <w:sz w:val="22"/>
        </w:rPr>
        <w:t>docker-compose.yml  — one-command start/stop</w:t>
      </w:r>
    </w:p>
    <w:p>
      <w:pPr>
        <w:spacing w:before="240" w:after="80"/>
      </w:pPr>
      <w:r>
        <w:rPr>
          <w:rFonts w:ascii="Calibri" w:hAnsi="Calibri"/>
          <w:b/>
          <w:color w:val="2B2E45"/>
          <w:sz w:val="24"/>
        </w:rPr>
        <w:t>3.2  Build and start</w:t>
      </w:r>
    </w:p>
    <w:p>
      <w:pPr>
        <w:pStyle w:val="ListNumber"/>
        <w:spacing w:after="60"/>
        <w:ind w:left="283"/>
      </w:pPr>
      <w:r>
        <w:rPr>
          <w:rFonts w:ascii="Calibri" w:hAnsi="Calibri"/>
          <w:b/>
          <w:sz w:val="22"/>
        </w:rPr>
        <w:t>Edit index.html</w:t>
      </w:r>
      <w:r>
        <w:rPr>
          <w:rFonts w:ascii="Calibri" w:hAnsi="Calibri"/>
          <w:sz w:val="22"/>
        </w:rPr>
        <w:t xml:space="preserve"> — set the LICENSE block as described in Section 2.</w:t>
      </w:r>
    </w:p>
    <w:p>
      <w:pPr>
        <w:pStyle w:val="ListNumber"/>
        <w:spacing w:after="60"/>
        <w:ind w:left="283"/>
      </w:pPr>
      <w:r>
        <w:rPr>
          <w:rFonts w:ascii="Calibri" w:hAnsi="Calibri"/>
          <w:b/>
          <w:sz w:val="22"/>
        </w:rPr>
        <w:t>Copy the four files</w:t>
      </w:r>
      <w:r>
        <w:rPr>
          <w:rFonts w:ascii="Calibri" w:hAnsi="Calibri"/>
          <w:sz w:val="22"/>
        </w:rPr>
        <w:t xml:space="preserve"> to the target server (e.g. via scp or git).</w:t>
      </w:r>
    </w:p>
    <w:p>
      <w:pPr>
        <w:pStyle w:val="ListNumber"/>
        <w:spacing w:after="60"/>
        <w:ind w:left="283"/>
      </w:pPr>
      <w:r>
        <w:rPr>
          <w:rFonts w:ascii="Calibri" w:hAnsi="Calibri"/>
          <w:b/>
          <w:sz w:val="22"/>
        </w:rPr>
        <w:t>On the server</w:t>
      </w:r>
      <w:r>
        <w:rPr>
          <w:rFonts w:ascii="Calibri" w:hAnsi="Calibri"/>
          <w:sz w:val="22"/>
        </w:rPr>
        <w:t>, open a terminal in the folder that contains the files.</w:t>
      </w:r>
    </w:p>
    <w:p>
      <w:pPr>
        <w:pStyle w:val="ListNumber"/>
        <w:spacing w:after="60"/>
        <w:ind w:left="283"/>
      </w:pPr>
      <w:r>
        <w:rPr>
          <w:rFonts w:ascii="Calibri" w:hAnsi="Calibri"/>
          <w:b/>
          <w:sz w:val="22"/>
        </w:rPr>
        <w:t>Build the image:</w:t>
      </w:r>
      <w:r>
        <w:rPr>
          <w:rFonts w:ascii="Calibri" w:hAnsi="Calibri"/>
          <w:sz w:val="22"/>
        </w:rPr>
      </w:r>
    </w:p>
    <w:p>
      <w:pPr>
        <w:spacing w:after="40"/>
        <w:ind w:left="567"/>
        <w:shd w:val="clear" w:color="auto" w:fill="F0F0F0"/>
      </w:pPr>
      <w:r>
        <w:rPr>
          <w:rFonts w:ascii="Courier New" w:hAnsi="Courier New"/>
          <w:color w:val="1A1A6C"/>
          <w:sz w:val="18"/>
        </w:rPr>
        <w:t>docker build -t architise .</w:t>
      </w:r>
    </w:p>
    <w:p>
      <w:pPr>
        <w:pStyle w:val="ListNumber"/>
        <w:spacing w:after="60"/>
        <w:ind w:left="283"/>
      </w:pPr>
      <w:r>
        <w:rPr>
          <w:rFonts w:ascii="Calibri" w:hAnsi="Calibri"/>
          <w:b/>
          <w:sz w:val="22"/>
        </w:rPr>
        <w:t>Start the container:</w:t>
      </w:r>
      <w:r>
        <w:rPr>
          <w:rFonts w:ascii="Calibri" w:hAnsi="Calibri"/>
          <w:sz w:val="22"/>
        </w:rPr>
      </w:r>
    </w:p>
    <w:p>
      <w:pPr>
        <w:spacing w:after="40"/>
        <w:ind w:left="567"/>
        <w:shd w:val="clear" w:color="auto" w:fill="F0F0F0"/>
      </w:pPr>
      <w:r>
        <w:rPr>
          <w:rFonts w:ascii="Courier New" w:hAnsi="Courier New"/>
          <w:color w:val="1A1A6C"/>
          <w:sz w:val="18"/>
        </w:rPr>
        <w:t>docker compose up -d</w:t>
      </w:r>
    </w:p>
    <w:p>
      <w:pPr>
        <w:pStyle w:val="ListNumber"/>
        <w:spacing w:after="60"/>
        <w:ind w:left="283"/>
      </w:pPr>
      <w:r>
        <w:rPr>
          <w:rFonts w:ascii="Calibri" w:hAnsi="Calibri"/>
          <w:b/>
          <w:sz w:val="22"/>
        </w:rPr>
        <w:t>Verify it is running:</w:t>
      </w:r>
      <w:r>
        <w:rPr>
          <w:rFonts w:ascii="Calibri" w:hAnsi="Calibri"/>
          <w:sz w:val="22"/>
        </w:rPr>
      </w:r>
    </w:p>
    <w:p>
      <w:pPr>
        <w:spacing w:after="40"/>
        <w:ind w:left="567"/>
        <w:shd w:val="clear" w:color="auto" w:fill="F0F0F0"/>
      </w:pPr>
      <w:r>
        <w:rPr>
          <w:rFonts w:ascii="Courier New" w:hAnsi="Courier New"/>
          <w:color w:val="1A1A6C"/>
          <w:sz w:val="18"/>
        </w:rPr>
        <w:t>docker ps</w:t>
      </w:r>
    </w:p>
    <w:p>
      <w:pPr>
        <w:spacing w:after="40"/>
        <w:ind w:left="567"/>
        <w:shd w:val="clear" w:color="auto" w:fill="F0F0F0"/>
      </w:pPr>
      <w:r>
        <w:rPr>
          <w:rFonts w:ascii="Courier New" w:hAnsi="Courier New"/>
          <w:color w:val="1A1A6C"/>
          <w:sz w:val="18"/>
        </w:rPr>
        <w:t>curl -I http://localhost:8080</w:t>
      </w:r>
    </w:p>
    <w:p>
      <w:pPr>
        <w:pStyle w:val="ListNumber"/>
        <w:spacing w:after="60"/>
        <w:ind w:left="283"/>
      </w:pPr>
      <w:r>
        <w:rPr>
          <w:rFonts w:ascii="Calibri" w:hAnsi="Calibri"/>
          <w:b/>
          <w:sz w:val="22"/>
        </w:rPr>
        <w:t>Point the customer's DNS</w:t>
      </w:r>
      <w:r>
        <w:rPr>
          <w:rFonts w:ascii="Calibri" w:hAnsi="Calibri"/>
          <w:sz w:val="22"/>
        </w:rPr>
        <w:t xml:space="preserve"> / reverse proxy at port 8080.</w:t>
      </w:r>
    </w:p>
    <w:p>
      <w:pPr>
        <w:spacing w:before="240" w:after="80"/>
      </w:pPr>
      <w:r>
        <w:rPr>
          <w:rFonts w:ascii="Calibri" w:hAnsi="Calibri"/>
          <w:b/>
          <w:color w:val="2B2E45"/>
          <w:sz w:val="24"/>
        </w:rPr>
        <w:t>3.3  Changing the port</w:t>
      </w:r>
    </w:p>
    <w:p>
      <w:pPr>
        <w:spacing w:after="80"/>
      </w:pPr>
      <w:r>
        <w:rPr>
          <w:rFonts w:ascii="Calibri" w:hAnsi="Calibri"/>
          <w:sz w:val="22"/>
        </w:rPr>
        <w:t>The default is 8080. To use a different port, edit docker-compose.yml before step 5:</w:t>
      </w:r>
    </w:p>
    <w:p>
      <w:pPr>
        <w:spacing w:after="40"/>
        <w:ind w:left="567"/>
        <w:shd w:val="clear" w:color="auto" w:fill="F0F0F0"/>
      </w:pPr>
      <w:r>
        <w:rPr>
          <w:rFonts w:ascii="Courier New" w:hAnsi="Courier New"/>
          <w:color w:val="1A1A6C"/>
          <w:sz w:val="18"/>
        </w:rPr>
        <w:t>ports:</w:t>
      </w:r>
    </w:p>
    <w:p>
      <w:pPr>
        <w:spacing w:after="40"/>
        <w:ind w:left="567"/>
        <w:shd w:val="clear" w:color="auto" w:fill="F0F0F0"/>
      </w:pPr>
      <w:r>
        <w:rPr>
          <w:rFonts w:ascii="Courier New" w:hAnsi="Courier New"/>
          <w:color w:val="1A1A6C"/>
          <w:sz w:val="18"/>
        </w:rPr>
        <w:t xml:space="preserve">  - "443:80"   # example: expose as HTTPS via a front-end proxy</w:t>
      </w:r>
    </w:p>
    <w:p>
      <w:pPr>
        <w:spacing w:before="240" w:after="80"/>
      </w:pPr>
      <w:r>
        <w:rPr>
          <w:rFonts w:ascii="Calibri" w:hAnsi="Calibri"/>
          <w:b/>
          <w:color w:val="2B2E45"/>
          <w:sz w:val="24"/>
        </w:rPr>
        <w:t>3.4  Updating to a new version</w:t>
      </w:r>
    </w:p>
    <w:p>
      <w:pPr>
        <w:pStyle w:val="ListNumber"/>
        <w:spacing w:after="60"/>
        <w:ind w:left="283"/>
      </w:pPr>
      <w:r>
        <w:rPr>
          <w:rFonts w:ascii="Calibri" w:hAnsi="Calibri"/>
          <w:b/>
          <w:sz w:val="22"/>
        </w:rPr>
        <w:t>Replace index.html</w:t>
      </w:r>
      <w:r>
        <w:rPr>
          <w:rFonts w:ascii="Calibri" w:hAnsi="Calibri"/>
          <w:sz w:val="22"/>
        </w:rPr>
        <w:t xml:space="preserve"> on the server with the new version (re-apply the LICENSE block).</w:t>
      </w:r>
    </w:p>
    <w:p>
      <w:pPr>
        <w:pStyle w:val="ListNumber"/>
        <w:spacing w:after="60"/>
        <w:ind w:left="283"/>
      </w:pPr>
      <w:r>
        <w:rPr>
          <w:rFonts w:ascii="Calibri" w:hAnsi="Calibri"/>
          <w:b/>
          <w:sz w:val="22"/>
        </w:rPr>
        <w:t>Rebuild and restart:</w:t>
      </w:r>
      <w:r>
        <w:rPr>
          <w:rFonts w:ascii="Calibri" w:hAnsi="Calibri"/>
          <w:sz w:val="22"/>
        </w:rPr>
      </w:r>
    </w:p>
    <w:p>
      <w:pPr>
        <w:spacing w:after="40"/>
        <w:ind w:left="567"/>
        <w:shd w:val="clear" w:color="auto" w:fill="F0F0F0"/>
      </w:pPr>
      <w:r>
        <w:rPr>
          <w:rFonts w:ascii="Courier New" w:hAnsi="Courier New"/>
          <w:color w:val="1A1A6C"/>
          <w:sz w:val="18"/>
        </w:rPr>
        <w:t>docker compose down</w:t>
      </w:r>
    </w:p>
    <w:p>
      <w:pPr>
        <w:spacing w:after="40"/>
        <w:ind w:left="567"/>
        <w:shd w:val="clear" w:color="auto" w:fill="F0F0F0"/>
      </w:pPr>
      <w:r>
        <w:rPr>
          <w:rFonts w:ascii="Courier New" w:hAnsi="Courier New"/>
          <w:color w:val="1A1A6C"/>
          <w:sz w:val="18"/>
        </w:rPr>
        <w:t>docker build -t architise .</w:t>
      </w:r>
    </w:p>
    <w:p>
      <w:pPr>
        <w:spacing w:after="40"/>
        <w:ind w:left="567"/>
        <w:shd w:val="clear" w:color="auto" w:fill="F0F0F0"/>
      </w:pPr>
      <w:r>
        <w:rPr>
          <w:rFonts w:ascii="Courier New" w:hAnsi="Courier New"/>
          <w:color w:val="1A1A6C"/>
          <w:sz w:val="18"/>
        </w:rPr>
        <w:t>docker compose up -d</w:t>
      </w:r>
    </w:p>
    <w:p>
      <w:pPr>
        <w:spacing w:before="240" w:after="80"/>
      </w:pPr>
      <w:r>
        <w:rPr>
          <w:rFonts w:ascii="Calibri" w:hAnsi="Calibri"/>
          <w:b/>
          <w:color w:val="2B2E45"/>
          <w:sz w:val="24"/>
        </w:rPr>
        <w:t>3.5  Stopping and removing</w:t>
      </w:r>
    </w:p>
    <w:p>
      <w:pPr>
        <w:spacing w:after="40"/>
        <w:ind w:left="567"/>
        <w:shd w:val="clear" w:color="auto" w:fill="F0F0F0"/>
      </w:pPr>
      <w:r>
        <w:rPr>
          <w:rFonts w:ascii="Courier New" w:hAnsi="Courier New"/>
          <w:color w:val="1A1A6C"/>
          <w:sz w:val="18"/>
        </w:rPr>
        <w:t>docker compose down</w:t>
      </w:r>
    </w:p>
    <w:p>
      <w:pPr>
        <w:spacing w:after="80"/>
      </w:pPr>
      <w:r>
        <w:rPr>
          <w:rFonts w:ascii="Calibri" w:hAnsi="Calibri"/>
          <w:sz w:val="22"/>
        </w:rPr>
        <w:t>To also delete the image:</w:t>
      </w:r>
    </w:p>
    <w:p>
      <w:pPr>
        <w:spacing w:after="40"/>
        <w:ind w:left="567"/>
        <w:shd w:val="clear" w:color="auto" w:fill="F0F0F0"/>
      </w:pPr>
      <w:r>
        <w:rPr>
          <w:rFonts w:ascii="Courier New" w:hAnsi="Courier New"/>
          <w:color w:val="1A1A6C"/>
          <w:sz w:val="18"/>
        </w:rPr>
        <w:t>docker rmi architise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9F7EF"/>
            <w:tcBorders>
              <w:top w:val="single" w:sz="6" w:space="0" w:color="1E7E34"/>
              <w:left w:val="single" w:sz="12" w:space="0" w:color="1E7E34"/>
              <w:bottom w:val="single" w:sz="6" w:space="0" w:color="1E7E34"/>
              <w:right w:val="single" w:sz="6" w:space="0" w:color="1E7E34"/>
            </w:tcBorders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0"/>
              </w:rPr>
              <w:t xml:space="preserve">Architecture note — </w:t>
            </w:r>
            <w:r>
              <w:rPr>
                <w:rFonts w:ascii="Calibri" w:hAnsi="Calibri"/>
                <w:sz w:val="20"/>
              </w:rPr>
              <w:t>The tool is a single static HTML file served by nginx. There is no database, no backend process, and no user data stored server-side. This means it is air-gap friendly and requires no ongoing maintenance beyond license renewals.</w:t>
            </w:r>
          </w:p>
        </w:tc>
      </w:tr>
    </w:tbl>
    <w:p/>
    <w:p>
      <w:pPr>
        <w:spacing w:before="360" w:after="120"/>
        <w:pBdr>
          <w:top w:val="single" w:sz="8" w:space="4" w:color="C9A355"/>
        </w:pBdr>
      </w:pPr>
      <w:r>
        <w:rPr>
          <w:rFonts w:ascii="Calibri" w:hAnsi="Calibri"/>
          <w:b/>
          <w:color w:val="191C2E"/>
          <w:sz w:val="30"/>
        </w:rPr>
        <w:t>4. What the License Mechanism Does (and Does Not Do)</w:t>
      </w:r>
    </w:p>
    <w:p>
      <w:pPr>
        <w:spacing w:before="240" w:after="80"/>
      </w:pPr>
      <w:r>
        <w:rPr>
          <w:rFonts w:ascii="Calibri" w:hAnsi="Calibri"/>
          <w:b/>
          <w:color w:val="2B2E45"/>
          <w:sz w:val="24"/>
        </w:rPr>
        <w:t>4.1  How it works</w:t>
      </w:r>
    </w:p>
    <w:p>
      <w:pPr>
        <w:spacing w:after="80"/>
      </w:pPr>
      <w:r>
        <w:rPr>
          <w:rFonts w:ascii="Calibri" w:hAnsi="Calibri"/>
          <w:sz w:val="22"/>
        </w:rPr>
        <w:t>A self-invoking JavaScript function runs every time the page loads. It checks window.location.hostname against three conditions:</w:t>
      </w:r>
    </w:p>
    <w:p>
      <w:pPr>
        <w:pStyle w:val="ListBullet"/>
        <w:spacing w:after="40"/>
        <w:ind w:left="283"/>
      </w:pPr>
      <w:r>
        <w:rPr>
          <w:rFonts w:ascii="Calibri" w:hAnsi="Calibri"/>
          <w:b/>
          <w:sz w:val="22"/>
        </w:rPr>
        <w:t>Always exempt:</w:t>
      </w:r>
      <w:r>
        <w:rPr>
          <w:rFonts w:ascii="Calibri" w:hAnsi="Calibri"/>
          <w:sz w:val="22"/>
        </w:rPr>
        <w:t xml:space="preserve"> localhost, 127.0.0.1, empty string (file:// access), and *.arnoldruijter.it</w:t>
      </w:r>
    </w:p>
    <w:p>
      <w:pPr>
        <w:pStyle w:val="ListBullet"/>
        <w:spacing w:after="40"/>
        <w:ind w:left="283"/>
      </w:pPr>
      <w:r>
        <w:rPr>
          <w:rFonts w:ascii="Calibri" w:hAnsi="Calibri"/>
          <w:b/>
          <w:sz w:val="22"/>
        </w:rPr>
        <w:t>Valid license:</w:t>
      </w:r>
      <w:r>
        <w:rPr>
          <w:rFonts w:ascii="Calibri" w:hAnsi="Calibri"/>
          <w:sz w:val="22"/>
        </w:rPr>
        <w:t xml:space="preserve"> hostname matches LICENSE.domain exactly AND today's date is before LICENSE.expires</w:t>
      </w:r>
    </w:p>
    <w:p>
      <w:pPr>
        <w:pStyle w:val="ListBullet"/>
        <w:spacing w:after="40"/>
        <w:ind w:left="283"/>
      </w:pPr>
      <w:r>
        <w:rPr>
          <w:rFonts w:ascii="Calibri" w:hAnsi="Calibri"/>
          <w:b/>
          <w:sz w:val="22"/>
        </w:rPr>
        <w:t>Everything else:</w:t>
      </w:r>
      <w:r>
        <w:rPr>
          <w:rFonts w:ascii="Calibri" w:hAnsi="Calibri"/>
          <w:sz w:val="22"/>
        </w:rPr>
        <w:t xml:space="preserve"> amber warning banner at the bottom of the page</w:t>
      </w:r>
    </w:p>
    <w:p>
      <w:pPr>
        <w:spacing w:after="80"/>
      </w:pPr>
      <w:r>
        <w:rPr>
          <w:rFonts w:ascii="Calibri" w:hAnsi="Calibri"/>
          <w:sz w:val="22"/>
        </w:rPr>
        <w:t>A valid, in-date license shows a small "✓ Company Name" badge in the header. An expired or wrong-domain license shows the amber banner with your contact details, but does not block use of the tool.</w:t>
      </w:r>
    </w:p>
    <w:p>
      <w:pPr>
        <w:spacing w:before="240" w:after="80"/>
      </w:pPr>
      <w:r>
        <w:rPr>
          <w:rFonts w:ascii="Calibri" w:hAnsi="Calibri"/>
          <w:b/>
          <w:color w:val="2B2E45"/>
          <w:sz w:val="24"/>
        </w:rPr>
        <w:t>4.2  What it protects against</w:t>
      </w:r>
    </w:p>
    <w:p>
      <w:pPr>
        <w:pStyle w:val="ListBullet"/>
        <w:spacing w:after="40"/>
        <w:ind w:left="283"/>
      </w:pPr>
      <w:r>
        <w:rPr>
          <w:rFonts w:ascii="Calibri" w:hAnsi="Calibri"/>
          <w:sz w:val="22"/>
        </w:rPr>
        <w:t>Accidental use on the wrong domain (e.g. a customer who copies the file to a different server)</w:t>
      </w:r>
    </w:p>
    <w:p>
      <w:pPr>
        <w:pStyle w:val="ListBullet"/>
        <w:spacing w:after="40"/>
        <w:ind w:left="283"/>
      </w:pPr>
      <w:r>
        <w:rPr>
          <w:rFonts w:ascii="Calibri" w:hAnsi="Calibri"/>
          <w:sz w:val="22"/>
        </w:rPr>
        <w:t>Continued use after license expiry without a commercial conversation</w:t>
      </w:r>
    </w:p>
    <w:p>
      <w:pPr>
        <w:pStyle w:val="ListBullet"/>
        <w:spacing w:after="40"/>
        <w:ind w:left="283"/>
      </w:pPr>
      <w:r>
        <w:rPr>
          <w:rFonts w:ascii="Calibri" w:hAnsi="Calibri"/>
          <w:sz w:val="22"/>
        </w:rPr>
        <w:t>Internal corporate deployments on unknown domains without contacting you</w:t>
      </w:r>
    </w:p>
    <w:p>
      <w:pPr>
        <w:spacing w:before="240" w:after="80"/>
      </w:pPr>
      <w:r>
        <w:rPr>
          <w:rFonts w:ascii="Calibri" w:hAnsi="Calibri"/>
          <w:b/>
          <w:color w:val="2B2E45"/>
          <w:sz w:val="24"/>
        </w:rPr>
        <w:t>4.3  What it does NOT protect against</w:t>
      </w:r>
    </w:p>
    <w:p>
      <w:pPr>
        <w:pStyle w:val="ListBullet"/>
        <w:spacing w:after="40"/>
        <w:ind w:left="283"/>
      </w:pPr>
      <w:r>
        <w:rPr>
          <w:rFonts w:ascii="Calibri" w:hAnsi="Calibri"/>
          <w:b/>
          <w:sz w:val="22"/>
        </w:rPr>
        <w:t>A technically capable user</w:t>
      </w:r>
      <w:r>
        <w:rPr>
          <w:rFonts w:ascii="Calibri" w:hAnsi="Calibri"/>
          <w:sz w:val="22"/>
        </w:rPr>
        <w:t xml:space="preserve"> removing or altering the LICENSE check in the JS source</w:t>
      </w:r>
    </w:p>
    <w:p>
      <w:pPr>
        <w:pStyle w:val="ListBullet"/>
        <w:spacing w:after="40"/>
        <w:ind w:left="283"/>
      </w:pPr>
      <w:r>
        <w:rPr>
          <w:rFonts w:ascii="Calibri" w:hAnsi="Calibri"/>
          <w:b/>
          <w:sz w:val="22"/>
        </w:rPr>
        <w:t>Offline use via file://</w:t>
      </w:r>
      <w:r>
        <w:rPr>
          <w:rFonts w:ascii="Calibri" w:hAnsi="Calibri"/>
          <w:sz w:val="22"/>
        </w:rPr>
        <w:t xml:space="preserve"> (that is intentionally exempt for usability)</w:t>
      </w:r>
    </w:p>
    <w:p>
      <w:pPr>
        <w:pStyle w:val="ListBullet"/>
        <w:spacing w:after="40"/>
        <w:ind w:left="283"/>
      </w:pPr>
      <w:r>
        <w:rPr>
          <w:rFonts w:ascii="Calibri" w:hAnsi="Calibri"/>
          <w:b/>
          <w:sz w:val="22"/>
        </w:rPr>
        <w:t>A customer who modifies domain and expires</w:t>
      </w:r>
      <w:r>
        <w:rPr>
          <w:rFonts w:ascii="Calibri" w:hAnsi="Calibri"/>
          <w:sz w:val="22"/>
        </w:rPr>
        <w:t xml:space="preserve"> before building the Docker image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3CD"/>
            <w:tcBorders>
              <w:top w:val="single" w:sz="6" w:space="0" w:color="C9A355"/>
              <w:left w:val="single" w:sz="12" w:space="0" w:color="C9A355"/>
              <w:bottom w:val="single" w:sz="6" w:space="0" w:color="C9A355"/>
              <w:right w:val="single" w:sz="6" w:space="0" w:color="C9A355"/>
            </w:tcBorders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0"/>
              </w:rPr>
              <w:t xml:space="preserve">Important — </w:t>
            </w:r>
            <w:r>
              <w:rPr>
                <w:rFonts w:ascii="Calibri" w:hAnsi="Calibri"/>
                <w:sz w:val="20"/>
              </w:rPr>
              <w:t>The current mechanism is a "gentleman's agreement" layer — it communicates clearly that a license is required and creates a paper trail, but it is not cryptographic. For most enterprise customers this is entirely sufficient. See Section 6 for hardening options if you need stronger enforcement.</w:t>
            </w:r>
          </w:p>
        </w:tc>
      </w:tr>
    </w:tbl>
    <w:p/>
    <w:p>
      <w:pPr>
        <w:spacing w:before="360" w:after="120"/>
        <w:pBdr>
          <w:top w:val="single" w:sz="8" w:space="4" w:color="C9A355"/>
        </w:pBdr>
      </w:pPr>
      <w:r>
        <w:rPr>
          <w:rFonts w:ascii="Calibri" w:hAnsi="Calibri"/>
          <w:b/>
          <w:color w:val="191C2E"/>
          <w:sz w:val="30"/>
        </w:rPr>
        <w:t>5. Suggested Cost Structure</w:t>
      </w:r>
    </w:p>
    <w:p>
      <w:pPr>
        <w:spacing w:after="80"/>
      </w:pPr>
      <w:r>
        <w:rPr>
          <w:rFonts w:ascii="Calibri" w:hAnsi="Calibri"/>
          <w:sz w:val="22"/>
        </w:rPr>
        <w:t>The table below gives three pricing models you can mix and match depending on the customer type and relationship.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984"/>
            <w:shd w:val="clear" w:color="auto" w:fill="191C2E"/>
          </w:tcPr>
          <w:p>
            <w:r>
              <w:rPr>
                <w:rFonts w:ascii="Calibri" w:hAnsi="Calibri"/>
                <w:b/>
                <w:color w:val="C9A355"/>
                <w:sz w:val="20"/>
              </w:rPr>
              <w:t>Model</w:t>
            </w:r>
          </w:p>
        </w:tc>
        <w:tc>
          <w:tcPr>
            <w:tcW w:type="dxa" w:w="1984"/>
            <w:shd w:val="clear" w:color="auto" w:fill="191C2E"/>
          </w:tcPr>
          <w:p>
            <w:r>
              <w:rPr>
                <w:rFonts w:ascii="Calibri" w:hAnsi="Calibri"/>
                <w:b/>
                <w:color w:val="C9A355"/>
                <w:sz w:val="20"/>
              </w:rPr>
              <w:t>Price indication</w:t>
            </w:r>
          </w:p>
        </w:tc>
        <w:tc>
          <w:tcPr>
            <w:tcW w:type="dxa" w:w="2268"/>
            <w:shd w:val="clear" w:color="auto" w:fill="191C2E"/>
          </w:tcPr>
          <w:p>
            <w:r>
              <w:rPr>
                <w:rFonts w:ascii="Calibri" w:hAnsi="Calibri"/>
                <w:b/>
                <w:color w:val="C9A355"/>
                <w:sz w:val="20"/>
              </w:rPr>
              <w:t>When to use</w:t>
            </w:r>
          </w:p>
        </w:tc>
        <w:tc>
          <w:tcPr>
            <w:tcW w:type="dxa" w:w="2835"/>
            <w:shd w:val="clear" w:color="auto" w:fill="191C2E"/>
          </w:tcPr>
          <w:p>
            <w:r>
              <w:rPr>
                <w:rFonts w:ascii="Calibri" w:hAnsi="Calibri"/>
                <w:b/>
                <w:color w:val="C9A355"/>
                <w:sz w:val="20"/>
              </w:rPr>
              <w:t>Notes</w:t>
            </w:r>
          </w:p>
        </w:tc>
      </w:tr>
      <w:tr>
        <w:tc>
          <w:tcPr>
            <w:tcW w:type="dxa" w:w="1984"/>
            <w:shd w:val="clear" w:color="auto" w:fill="F5F5F5"/>
          </w:tcPr>
          <w:p>
            <w:r>
              <w:rPr>
                <w:rFonts w:ascii="Calibri" w:hAnsi="Calibri"/>
                <w:b/>
                <w:sz w:val="20"/>
              </w:rPr>
              <w:t>Annual SaaS license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€ 1,500 – 3,500 / yr</w:t>
            </w:r>
          </w:p>
        </w:tc>
        <w:tc>
          <w:tcPr>
            <w:tcW w:type="dxa" w:w="2268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Customer self-hosts; you provide updates + support</w:t>
            </w:r>
          </w:p>
        </w:tc>
        <w:tc>
          <w:tcPr>
            <w:tcW w:type="dxa" w:w="2835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Renew yearly. Tie expiry date to invoice. Easy to manage at scale.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rFonts w:ascii="Calibri" w:hAnsi="Calibri"/>
                <w:b/>
                <w:sz w:val="20"/>
              </w:rPr>
              <w:t>Perpetual + maintenance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€ 3,000 – 6,000 one-off</w:t>
              <w:br/>
              <w:t>+ € 600 / yr maintenance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Large enterprise that prefers CAPEX over OPEX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rFonts w:ascii="Calibri" w:hAnsi="Calibri"/>
                <w:sz w:val="20"/>
              </w:rPr>
              <w:t>Maintenance covers updates and bug fixes. Stop maintenance = no new versions.</w:t>
            </w:r>
          </w:p>
        </w:tc>
      </w:tr>
      <w:tr>
        <w:tc>
          <w:tcPr>
            <w:tcW w:type="dxa" w:w="1984"/>
            <w:shd w:val="clear" w:color="auto" w:fill="F5F5F5"/>
          </w:tcPr>
          <w:p>
            <w:r>
              <w:rPr>
                <w:rFonts w:ascii="Calibri" w:hAnsi="Calibri"/>
                <w:b/>
                <w:sz w:val="20"/>
              </w:rPr>
              <w:t>Deployment service</w:t>
            </w:r>
          </w:p>
        </w:tc>
        <w:tc>
          <w:tcPr>
            <w:tcW w:type="dxa" w:w="1984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€ 500 – 1,500 one-off</w:t>
            </w:r>
          </w:p>
        </w:tc>
        <w:tc>
          <w:tcPr>
            <w:tcW w:type="dxa" w:w="2268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Customer needs help setting up Docker / DNS</w:t>
            </w:r>
          </w:p>
        </w:tc>
        <w:tc>
          <w:tcPr>
            <w:tcW w:type="dxa" w:w="2835"/>
            <w:shd w:val="clear" w:color="auto" w:fill="F5F5F5"/>
          </w:tcPr>
          <w:p>
            <w:r>
              <w:rPr>
                <w:rFonts w:ascii="Calibri" w:hAnsi="Calibri"/>
                <w:sz w:val="20"/>
              </w:rPr>
              <w:t>Bill separately from the license. Scope: setup, verify, handover documentation.</w:t>
            </w:r>
          </w:p>
        </w:tc>
      </w:tr>
    </w:tbl>
    <w:p/>
    <w:p>
      <w:pPr>
        <w:spacing w:after="80"/>
      </w:pPr>
      <w:r>
        <w:rPr>
          <w:rFonts w:ascii="Calibri" w:hAnsi="Calibri"/>
          <w:sz w:val="22"/>
        </w:rPr>
        <w:t>Practical pricing notes:</w:t>
      </w:r>
    </w:p>
    <w:p>
      <w:pPr>
        <w:pStyle w:val="ListBullet"/>
        <w:spacing w:after="40"/>
        <w:ind w:left="283"/>
      </w:pPr>
      <w:r>
        <w:rPr>
          <w:rFonts w:ascii="Calibri" w:hAnsi="Calibri"/>
          <w:b/>
          <w:sz w:val="22"/>
        </w:rPr>
        <w:t>Start at the lower end</w:t>
      </w:r>
      <w:r>
        <w:rPr>
          <w:rFonts w:ascii="Calibri" w:hAnsi="Calibri"/>
          <w:sz w:val="22"/>
        </w:rPr>
        <w:t xml:space="preserve"> of the range for SME customers or first-time referrals.</w:t>
      </w:r>
    </w:p>
    <w:p>
      <w:pPr>
        <w:pStyle w:val="ListBullet"/>
        <w:spacing w:after="40"/>
        <w:ind w:left="283"/>
      </w:pPr>
      <w:r>
        <w:rPr>
          <w:rFonts w:ascii="Calibri" w:hAnsi="Calibri"/>
          <w:b/>
          <w:sz w:val="22"/>
        </w:rPr>
        <w:t>Use the higher end</w:t>
      </w:r>
      <w:r>
        <w:rPr>
          <w:rFonts w:ascii="Calibri" w:hAnsi="Calibri"/>
          <w:sz w:val="22"/>
        </w:rPr>
        <w:t xml:space="preserve"> for regulated industries (finance, healthcare, government) where a professional ArchiMate tool reduces compliance risk.</w:t>
      </w:r>
    </w:p>
    <w:p>
      <w:pPr>
        <w:pStyle w:val="ListBullet"/>
        <w:spacing w:after="40"/>
        <w:ind w:left="283"/>
      </w:pPr>
      <w:r>
        <w:rPr>
          <w:rFonts w:ascii="Calibri" w:hAnsi="Calibri"/>
          <w:b/>
          <w:sz w:val="22"/>
        </w:rPr>
        <w:t>Bundle the deployment service</w:t>
      </w:r>
      <w:r>
        <w:rPr>
          <w:rFonts w:ascii="Calibri" w:hAnsi="Calibri"/>
          <w:sz w:val="22"/>
        </w:rPr>
        <w:t xml:space="preserve"> with year 1 of the annual license to reduce friction for the first sale.</w:t>
      </w:r>
    </w:p>
    <w:p>
      <w:pPr>
        <w:pStyle w:val="ListBullet"/>
        <w:spacing w:after="40"/>
        <w:ind w:left="283"/>
      </w:pPr>
      <w:r>
        <w:rPr>
          <w:rFonts w:ascii="Calibri" w:hAnsi="Calibri"/>
          <w:b/>
          <w:sz w:val="22"/>
        </w:rPr>
        <w:t>Consider a free 30-day trial period</w:t>
      </w:r>
      <w:r>
        <w:rPr>
          <w:rFonts w:ascii="Calibri" w:hAnsi="Calibri"/>
          <w:sz w:val="22"/>
        </w:rPr>
        <w:t xml:space="preserve"> — set LICENSE.expires 30 days out and follow up before expiry. The amber banner does the work for you.</w:t>
      </w:r>
    </w:p>
    <w:p>
      <w:pPr>
        <w:spacing w:before="360" w:after="120"/>
        <w:pBdr>
          <w:top w:val="single" w:sz="8" w:space="4" w:color="C9A355"/>
        </w:pBdr>
      </w:pPr>
      <w:r>
        <w:rPr>
          <w:rFonts w:ascii="Calibri" w:hAnsi="Calibri"/>
          <w:b/>
          <w:color w:val="191C2E"/>
          <w:sz w:val="30"/>
        </w:rPr>
        <w:t>6. Securing Correct License Usage</w:t>
      </w:r>
    </w:p>
    <w:p>
      <w:pPr>
        <w:spacing w:before="240" w:after="80"/>
      </w:pPr>
      <w:r>
        <w:rPr>
          <w:rFonts w:ascii="Calibri" w:hAnsi="Calibri"/>
          <w:b/>
          <w:color w:val="2B2E45"/>
          <w:sz w:val="24"/>
        </w:rPr>
        <w:t>6.1  Contractual layer (most important)</w:t>
      </w:r>
    </w:p>
    <w:p>
      <w:pPr>
        <w:spacing w:after="80"/>
      </w:pPr>
      <w:r>
        <w:rPr>
          <w:rFonts w:ascii="Calibri" w:hAnsi="Calibri"/>
          <w:sz w:val="22"/>
        </w:rPr>
        <w:t>The strongest protection is a clear contract or order confirmation that specifies:</w:t>
      </w:r>
    </w:p>
    <w:p>
      <w:pPr>
        <w:pStyle w:val="ListBullet"/>
        <w:spacing w:after="40"/>
        <w:ind w:left="283"/>
      </w:pPr>
      <w:r>
        <w:rPr>
          <w:rFonts w:ascii="Calibri" w:hAnsi="Calibri"/>
          <w:sz w:val="22"/>
        </w:rPr>
        <w:t>The licensed domain(s) and number of concurrent users / installations</w:t>
      </w:r>
    </w:p>
    <w:p>
      <w:pPr>
        <w:pStyle w:val="ListBullet"/>
        <w:spacing w:after="40"/>
        <w:ind w:left="283"/>
      </w:pPr>
      <w:r>
        <w:rPr>
          <w:rFonts w:ascii="Calibri" w:hAnsi="Calibri"/>
          <w:sz w:val="22"/>
        </w:rPr>
        <w:t>The start and end date of the license</w:t>
      </w:r>
    </w:p>
    <w:p>
      <w:pPr>
        <w:pStyle w:val="ListBullet"/>
        <w:spacing w:after="40"/>
        <w:ind w:left="283"/>
      </w:pPr>
      <w:r>
        <w:rPr>
          <w:rFonts w:ascii="Calibri" w:hAnsi="Calibri"/>
          <w:sz w:val="22"/>
        </w:rPr>
        <w:t>That redistribution, modification of the license check code, and deployment on unlicensed domains are prohibited</w:t>
      </w:r>
    </w:p>
    <w:p>
      <w:pPr>
        <w:pStyle w:val="ListBullet"/>
        <w:spacing w:after="40"/>
        <w:ind w:left="283"/>
      </w:pPr>
      <w:r>
        <w:rPr>
          <w:rFonts w:ascii="Calibri" w:hAnsi="Calibri"/>
          <w:sz w:val="22"/>
        </w:rPr>
        <w:t>Auto-renewal terms if you want them</w:t>
      </w:r>
    </w:p>
    <w:p>
      <w:pPr>
        <w:spacing w:after="80"/>
      </w:pPr>
      <w:r>
        <w:rPr>
          <w:rFonts w:ascii="Calibri" w:hAnsi="Calibri"/>
          <w:sz w:val="22"/>
        </w:rPr>
        <w:t>Keep a copy of every signed agreement and a matching row in your admin log (customer, domain, key, expiry, invoice number).</w:t>
      </w:r>
    </w:p>
    <w:p>
      <w:pPr>
        <w:spacing w:before="240" w:after="80"/>
      </w:pPr>
      <w:r>
        <w:rPr>
          <w:rFonts w:ascii="Calibri" w:hAnsi="Calibri"/>
          <w:b/>
          <w:color w:val="2B2E45"/>
          <w:sz w:val="24"/>
        </w:rPr>
        <w:t>6.2  Operational controls (what you can do today)</w:t>
      </w:r>
    </w:p>
    <w:p>
      <w:pPr>
        <w:pStyle w:val="ListBullet"/>
        <w:spacing w:after="40"/>
        <w:ind w:left="283"/>
      </w:pPr>
      <w:r>
        <w:rPr>
          <w:rFonts w:ascii="Calibri" w:hAnsi="Calibri"/>
          <w:b/>
          <w:sz w:val="22"/>
        </w:rPr>
        <w:t>Log every license issued</w:t>
      </w:r>
      <w:r>
        <w:rPr>
          <w:rFonts w:ascii="Calibri" w:hAnsi="Calibri"/>
          <w:sz w:val="22"/>
        </w:rPr>
        <w:t xml:space="preserve"> — if a new unknown deployment appears, you will know it is not yours.</w:t>
      </w:r>
    </w:p>
    <w:p>
      <w:pPr>
        <w:pStyle w:val="ListBullet"/>
        <w:spacing w:after="40"/>
        <w:ind w:left="283"/>
      </w:pPr>
      <w:r>
        <w:rPr>
          <w:rFonts w:ascii="Calibri" w:hAnsi="Calibri"/>
          <w:b/>
          <w:sz w:val="22"/>
        </w:rPr>
        <w:t>Set LICENSE.expires to the exact agreed end date</w:t>
      </w:r>
      <w:r>
        <w:rPr>
          <w:rFonts w:ascii="Calibri" w:hAnsi="Calibri"/>
          <w:sz w:val="22"/>
        </w:rPr>
        <w:t xml:space="preserve"> — not a round number far in the future.</w:t>
      </w:r>
    </w:p>
    <w:p>
      <w:pPr>
        <w:pStyle w:val="ListBullet"/>
        <w:spacing w:after="40"/>
        <w:ind w:left="283"/>
      </w:pPr>
      <w:r>
        <w:rPr>
          <w:rFonts w:ascii="Calibri" w:hAnsi="Calibri"/>
          <w:b/>
          <w:sz w:val="22"/>
        </w:rPr>
        <w:t>Do a "domain check-in" 60 days before expiry</w:t>
      </w:r>
      <w:r>
        <w:rPr>
          <w:rFonts w:ascii="Calibri" w:hAnsi="Calibri"/>
          <w:sz w:val="22"/>
        </w:rPr>
        <w:t>: reach out to renew before the banner appears.</w:t>
      </w:r>
    </w:p>
    <w:p>
      <w:pPr>
        <w:pStyle w:val="ListBullet"/>
        <w:spacing w:after="40"/>
        <w:ind w:left="283"/>
      </w:pPr>
      <w:r>
        <w:rPr>
          <w:rFonts w:ascii="Calibri" w:hAnsi="Calibri"/>
          <w:b/>
          <w:sz w:val="22"/>
        </w:rPr>
        <w:t>Ship the Docker image as a pre-built tarball</w:t>
      </w:r>
      <w:r>
        <w:rPr>
          <w:rFonts w:ascii="Calibri" w:hAnsi="Calibri"/>
          <w:sz w:val="22"/>
        </w:rPr>
        <w:t xml:space="preserve"> (docker save) rather than source files, making casual modification slightly harder.</w:t>
      </w:r>
    </w:p>
    <w:p>
      <w:pPr>
        <w:spacing w:before="240" w:after="80"/>
      </w:pPr>
      <w:r>
        <w:rPr>
          <w:rFonts w:ascii="Calibri" w:hAnsi="Calibri"/>
          <w:b/>
          <w:color w:val="2B2E45"/>
          <w:sz w:val="24"/>
        </w:rPr>
        <w:t>6.3  Technical hardening options (if needed)</w:t>
      </w:r>
    </w:p>
    <w:p>
      <w:pPr>
        <w:spacing w:after="80"/>
      </w:pPr>
      <w:r>
        <w:rPr>
          <w:rFonts w:ascii="Calibri" w:hAnsi="Calibri"/>
          <w:sz w:val="22"/>
        </w:rPr>
        <w:t>If you need stronger enforcement for high-value or high-risk customers, consider the following additions:</w:t>
      </w:r>
    </w:p>
    <w:p>
      <w:pPr>
        <w:pStyle w:val="ListBullet"/>
        <w:spacing w:after="40"/>
        <w:ind w:left="283"/>
      </w:pPr>
      <w:r>
        <w:rPr>
          <w:rFonts w:ascii="Calibri" w:hAnsi="Calibri"/>
          <w:b/>
          <w:sz w:val="22"/>
        </w:rPr>
        <w:t>Obfuscate the license check</w:t>
      </w:r>
      <w:r>
        <w:rPr>
          <w:rFonts w:ascii="Calibri" w:hAnsi="Calibri"/>
          <w:sz w:val="22"/>
        </w:rPr>
        <w:t xml:space="preserve"> with a tool like javascript-obfuscator before building the image. This does not prevent a determined attacker but raises the effort required.</w:t>
      </w:r>
    </w:p>
    <w:p>
      <w:pPr>
        <w:pStyle w:val="ListBullet"/>
        <w:spacing w:after="40"/>
        <w:ind w:left="283"/>
      </w:pPr>
      <w:r>
        <w:rPr>
          <w:rFonts w:ascii="Calibri" w:hAnsi="Calibri"/>
          <w:b/>
          <w:sz w:val="22"/>
        </w:rPr>
        <w:t>Add a server-side license ping:</w:t>
      </w:r>
      <w:r>
        <w:rPr>
          <w:rFonts w:ascii="Calibri" w:hAnsi="Calibri"/>
          <w:sz w:val="22"/>
        </w:rPr>
        <w:t xml:space="preserve"> on page load, the tool calls a small API you host (e.g. a Cloudflare Worker or AWS Lambda) that validates domain + key against your database. If the ping fails, the tool shows a blocking modal. This is the most robust option.</w:t>
      </w:r>
    </w:p>
    <w:p>
      <w:pPr>
        <w:pStyle w:val="ListBullet"/>
        <w:spacing w:after="40"/>
        <w:ind w:left="283"/>
      </w:pPr>
      <w:r>
        <w:rPr>
          <w:rFonts w:ascii="Calibri" w:hAnsi="Calibri"/>
          <w:b/>
          <w:sz w:val="22"/>
        </w:rPr>
        <w:t>Use a Content Security Policy nonce or hash</w:t>
      </w:r>
      <w:r>
        <w:rPr>
          <w:rFonts w:ascii="Calibri" w:hAnsi="Calibri"/>
          <w:sz w:val="22"/>
        </w:rPr>
        <w:t xml:space="preserve"> so that even if someone edits the HTML, the modified script block is rejected by the browser.</w:t>
      </w:r>
    </w:p>
    <w:p>
      <w:pPr>
        <w:pStyle w:val="ListBullet"/>
        <w:spacing w:after="40"/>
        <w:ind w:left="283"/>
      </w:pPr>
      <w:r>
        <w:rPr>
          <w:rFonts w:ascii="Calibri" w:hAnsi="Calibri"/>
          <w:b/>
          <w:sz w:val="22"/>
        </w:rPr>
        <w:t>For government or regulated customers:</w:t>
      </w:r>
      <w:r>
        <w:rPr>
          <w:rFonts w:ascii="Calibri" w:hAnsi="Calibri"/>
          <w:sz w:val="22"/>
        </w:rPr>
        <w:t xml:space="preserve"> ship a signed Docker image and require the customer to verify the signature before deployment.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9F7EF"/>
            <w:tcBorders>
              <w:top w:val="single" w:sz="6" w:space="0" w:color="1E7E34"/>
              <w:left w:val="single" w:sz="12" w:space="0" w:color="1E7E34"/>
              <w:bottom w:val="single" w:sz="6" w:space="0" w:color="1E7E34"/>
              <w:right w:val="single" w:sz="6" w:space="0" w:color="1E7E34"/>
            </w:tcBorders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0"/>
              </w:rPr>
              <w:t xml:space="preserve">Recommendation — </w:t>
            </w:r>
            <w:r>
              <w:rPr>
                <w:rFonts w:ascii="Calibri" w:hAnsi="Calibri"/>
                <w:sz w:val="20"/>
              </w:rPr>
              <w:t>For most commercial customers the combination of a clear contract + the amber banner + expiry dates is entirely sufficient. The server-side ping is worth building if you grow beyond ~10 active deployments and want to automate license enforcement rather than relying on manual follow-up.</w:t>
            </w:r>
          </w:p>
        </w:tc>
      </w:tr>
    </w:tbl>
    <w:p/>
    <w:p>
      <w:pPr>
        <w:spacing w:before="240" w:after="80"/>
      </w:pPr>
      <w:r>
        <w:rPr>
          <w:rFonts w:ascii="Calibri" w:hAnsi="Calibri"/>
          <w:b/>
          <w:color w:val="2B2E45"/>
          <w:sz w:val="24"/>
        </w:rPr>
        <w:t>6.4  Renewals workflow</w:t>
      </w:r>
    </w:p>
    <w:p>
      <w:pPr>
        <w:spacing w:after="80"/>
      </w:pPr>
      <w:r>
        <w:rPr>
          <w:rFonts w:ascii="Calibri" w:hAnsi="Calibri"/>
          <w:sz w:val="22"/>
        </w:rPr>
        <w:t>A simple renewal process keeps revenue predictable:</w:t>
      </w:r>
    </w:p>
    <w:p>
      <w:pPr>
        <w:pStyle w:val="ListNumber"/>
        <w:spacing w:after="60"/>
        <w:ind w:left="283"/>
      </w:pPr>
      <w:r>
        <w:rPr>
          <w:rFonts w:ascii="Calibri" w:hAnsi="Calibri"/>
          <w:b/>
          <w:sz w:val="22"/>
        </w:rPr>
        <w:t>60 days before expiry:</w:t>
      </w:r>
      <w:r>
        <w:rPr>
          <w:rFonts w:ascii="Calibri" w:hAnsi="Calibri"/>
          <w:sz w:val="22"/>
        </w:rPr>
        <w:t xml:space="preserve"> send renewal quote by email.</w:t>
      </w:r>
    </w:p>
    <w:p>
      <w:pPr>
        <w:pStyle w:val="ListNumber"/>
        <w:spacing w:after="60"/>
        <w:ind w:left="283"/>
      </w:pPr>
      <w:r>
        <w:rPr>
          <w:rFonts w:ascii="Calibri" w:hAnsi="Calibri"/>
          <w:b/>
          <w:sz w:val="22"/>
        </w:rPr>
        <w:t>30 days before expiry:</w:t>
      </w:r>
      <w:r>
        <w:rPr>
          <w:rFonts w:ascii="Calibri" w:hAnsi="Calibri"/>
          <w:sz w:val="22"/>
        </w:rPr>
        <w:t xml:space="preserve"> follow up if no response; forward the quote again.</w:t>
      </w:r>
    </w:p>
    <w:p>
      <w:pPr>
        <w:pStyle w:val="ListNumber"/>
        <w:spacing w:after="60"/>
        <w:ind w:left="283"/>
      </w:pPr>
      <w:r>
        <w:rPr>
          <w:rFonts w:ascii="Calibri" w:hAnsi="Calibri"/>
          <w:b/>
          <w:sz w:val="22"/>
        </w:rPr>
        <w:t>On expiry:</w:t>
      </w:r>
      <w:r>
        <w:rPr>
          <w:rFonts w:ascii="Calibri" w:hAnsi="Calibri"/>
          <w:sz w:val="22"/>
        </w:rPr>
        <w:t xml:space="preserve"> amber banner appears automatically — customer sees it on their next visit.</w:t>
      </w:r>
    </w:p>
    <w:p>
      <w:pPr>
        <w:pStyle w:val="ListNumber"/>
        <w:spacing w:after="60"/>
        <w:ind w:left="283"/>
      </w:pPr>
      <w:r>
        <w:rPr>
          <w:rFonts w:ascii="Calibri" w:hAnsi="Calibri"/>
          <w:b/>
          <w:sz w:val="22"/>
        </w:rPr>
        <w:t>On payment:</w:t>
      </w:r>
      <w:r>
        <w:rPr>
          <w:rFonts w:ascii="Calibri" w:hAnsi="Calibri"/>
          <w:sz w:val="22"/>
        </w:rPr>
        <w:t xml:space="preserve"> build a new image with updated expires date, ship to customer.</w:t>
      </w:r>
    </w:p>
    <w:p>
      <w:pPr>
        <w:pStyle w:val="ListNumber"/>
        <w:spacing w:after="60"/>
        <w:ind w:left="283"/>
      </w:pPr>
      <w:r>
        <w:rPr>
          <w:rFonts w:ascii="Calibri" w:hAnsi="Calibri"/>
          <w:b/>
          <w:sz w:val="22"/>
        </w:rPr>
        <w:t>Log new expiry date</w:t>
      </w:r>
      <w:r>
        <w:rPr>
          <w:rFonts w:ascii="Calibri" w:hAnsi="Calibri"/>
          <w:sz w:val="22"/>
        </w:rPr>
        <w:t xml:space="preserve"> in your admin records.</w:t>
      </w:r>
    </w:p>
    <w:p>
      <w:pPr>
        <w:spacing w:after="160"/>
      </w:pPr>
    </w:p>
    <w:p>
      <w:pPr>
        <w:pBdr>
          <w:top w:val="single" w:sz="4" w:space="4" w:color="C9A355"/>
        </w:pBdr>
        <w:spacing w:before="240"/>
      </w:pPr>
      <w:r>
        <w:rPr>
          <w:rFonts w:ascii="Calibri" w:hAnsi="Calibri"/>
          <w:color w:val="555878"/>
          <w:sz w:val="18"/>
        </w:rPr>
        <w:t>Arnold Ruijter IT  ·  arnold.ruijter@outlook.com  ·  arnoldruijter.it</w:t>
      </w:r>
    </w:p>
    <w:sectPr w:rsidR="00FC693F" w:rsidRPr="0006063C" w:rsidSect="00034616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