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t xml:space="preserve"/>
      </w:r>
    </w:p>
    <w:p>
      <w:pPr>
        <w:spacing w:after="80" w:before="0"/>
      </w:pPr>
      <w:r>
        <w:t xml:space="preserve"/>
      </w:r>
    </w:p>
    <w:p>
      <w:pPr>
        <w:spacing w:after="80" w:before="480"/>
        <w:jc w:val="center"/>
      </w:pPr>
      <w:r>
        <w:rPr>
          <w:rFonts w:ascii="Arial" w:cs="Arial" w:eastAsia="Arial" w:hAnsi="Arial"/>
          <w:b/>
          <w:bCs/>
          <w:color w:val="3B1422"/>
          <w:sz w:val="72"/>
          <w:szCs w:val="72"/>
        </w:rPr>
        <w:t xml:space="preserve">VINAGE</w:t>
      </w:r>
    </w:p>
    <w:p>
      <w:pPr>
        <w:spacing w:after="120" w:before="0"/>
        <w:jc w:val="center"/>
      </w:pPr>
      <w:r>
        <w:rPr>
          <w:rFonts w:ascii="Arial" w:cs="Arial" w:eastAsia="Arial" w:hAnsi="Arial"/>
          <w:color w:val="A3835B"/>
          <w:sz w:val="36"/>
          <w:szCs w:val="36"/>
        </w:rPr>
        <w:t xml:space="preserve">Commercialisation Roadmap</w:t>
      </w:r>
    </w:p>
    <w:p>
      <w:pPr>
        <w:spacing w:after="480" w:before="0"/>
        <w:jc w:val="center"/>
      </w:pPr>
      <w:r>
        <w:rPr>
          <w:rFonts w:ascii="Arial" w:cs="Arial" w:eastAsia="Arial" w:hAnsi="Arial"/>
          <w:color w:val="666666"/>
          <w:sz w:val="22"/>
          <w:szCs w:val="22"/>
        </w:rPr>
        <w:t xml:space="preserve">Confidential working document  •  May 2026</w:t>
      </w:r>
    </w:p>
    <w:p>
      <w:pPr>
        <w:pBdr>
          <w:top w:val="single" w:color="3B1422" w:sz="6" w:space="1"/>
          <w:bottom w:val="single" w:color="3B1422" w:sz="6" w:space="1"/>
        </w:pBdr>
        <w:spacing w:after="120" w:before="120"/>
        <w:jc w:val="center"/>
      </w:pPr>
      <w:r>
        <w:rPr>
          <w:rFonts w:ascii="Arial" w:cs="Arial" w:eastAsia="Arial" w:hAnsi="Arial"/>
          <w:b/>
          <w:bCs/>
          <w:color w:val="3B1422"/>
          <w:sz w:val="24"/>
          <w:szCs w:val="24"/>
        </w:rPr>
        <w:t xml:space="preserve">Arnold Ruijter</w:t>
      </w:r>
    </w:p>
    <w:p>
      <w:r>
        <w:br w:type="page"/>
      </w:r>
    </w:p>
    <w:p>
      <w:pPr>
        <w:pStyle w:val="Heading1"/>
        <w:pBdr>
          <w:bottom w:val="single" w:color="3B1422" w:sz="8" w:space="4"/>
        </w:pBdr>
        <w:spacing w:after="120" w:before="360"/>
      </w:pPr>
      <w:r>
        <w:rPr>
          <w:rFonts w:ascii="Arial" w:cs="Arial" w:eastAsia="Arial" w:hAnsi="Arial"/>
          <w:b/>
          <w:bCs/>
          <w:color w:val="3B1422"/>
          <w:sz w:val="36"/>
          <w:szCs w:val="36"/>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3B1422" w:sz="8" w:space="4"/>
        </w:pBdr>
        <w:spacing w:after="120" w:before="360"/>
      </w:pPr>
      <w:r>
        <w:rPr>
          <w:rFonts w:ascii="Arial" w:cs="Arial" w:eastAsia="Arial" w:hAnsi="Arial"/>
          <w:b/>
          <w:bCs/>
          <w:color w:val="3B1422"/>
          <w:sz w:val="36"/>
          <w:szCs w:val="36"/>
        </w:rPr>
        <w:t xml:space="preserve">1. Executive Summary</w:t>
      </w:r>
    </w:p>
    <w:p>
      <w:pPr>
        <w:spacing w:after="120" w:before="80"/>
      </w:pPr>
      <w:r>
        <w:rPr>
          <w:rFonts w:ascii="Arial" w:cs="Arial" w:eastAsia="Arial" w:hAnsi="Arial"/>
          <w:sz w:val="22"/>
          <w:szCs w:val="22"/>
        </w:rPr>
        <w:t xml:space="preserve">Vinage is a personal wine-cellar PWA that helps consumers manage, discover and enjoy their wine collection. The app is production-ready and live, with a feature set that includes barcode scanning, AI enrichment, cellar mapping, household sync, and Digital Product Passport (DPP) integration via the OrigoVero platform. It serves six languages (EN, NL, IT, FR, ES, DE) and runs on any device with a browser.</w:t>
      </w:r>
    </w:p>
    <w:p>
      <w:pPr>
        <w:spacing w:after="120" w:before="80"/>
      </w:pPr>
      <w:r>
        <w:rPr>
          <w:rFonts w:ascii="Arial" w:cs="Arial" w:eastAsia="Arial" w:hAnsi="Arial"/>
          <w:sz w:val="22"/>
          <w:szCs w:val="22"/>
        </w:rPr>
        <w:t xml:space="preserve">This document maps out the path from a functioning consumer product to a commercially sustainable business, organised across three tracks that must advance in parallel:</w:t>
      </w:r>
    </w:p>
    <w:p>
      <w:pPr>
        <w:pStyle w:val="ListParagraph"/>
        <w:numPr>
          <w:ilvl w:val="0"/>
          <w:numId w:val="2"/>
        </w:numPr>
        <w:spacing w:after="40" w:before="40"/>
      </w:pPr>
      <w:r>
        <w:rPr>
          <w:rFonts w:ascii="Arial" w:cs="Arial" w:eastAsia="Arial" w:hAnsi="Arial"/>
          <w:sz w:val="22"/>
          <w:szCs w:val="22"/>
        </w:rPr>
        <w:t xml:space="preserve">GDPR &amp; compliance — the legal foundation, required before any public launch or B2B contract</w:t>
      </w:r>
    </w:p>
    <w:p>
      <w:pPr>
        <w:pStyle w:val="ListParagraph"/>
        <w:numPr>
          <w:ilvl w:val="0"/>
          <w:numId w:val="2"/>
        </w:numPr>
        <w:spacing w:after="40" w:before="40"/>
      </w:pPr>
      <w:r>
        <w:rPr>
          <w:rFonts w:ascii="Arial" w:cs="Arial" w:eastAsia="Arial" w:hAnsi="Arial"/>
          <w:sz w:val="22"/>
          <w:szCs w:val="22"/>
        </w:rPr>
        <w:t xml:space="preserve">Business model — how Vinage generates revenue from consumers, wine businesses, and restaurant/hospitality professionals</w:t>
      </w:r>
    </w:p>
    <w:p>
      <w:pPr>
        <w:pStyle w:val="ListParagraph"/>
        <w:numPr>
          <w:ilvl w:val="0"/>
          <w:numId w:val="2"/>
        </w:numPr>
        <w:spacing w:after="40" w:before="40"/>
      </w:pPr>
      <w:r>
        <w:rPr>
          <w:rFonts w:ascii="Arial" w:cs="Arial" w:eastAsia="Arial" w:hAnsi="Arial"/>
          <w:sz w:val="22"/>
          <w:szCs w:val="22"/>
        </w:rPr>
        <w:t xml:space="preserve">Product roadmap — the specific features needed for each market segment, phased by priority</w:t>
      </w:r>
    </w:p>
    <w:p>
      <w:pPr>
        <w:spacing w:after="80" w:before="0"/>
      </w:pPr>
      <w:r>
        <w:t xml:space="preserve"/>
      </w:r>
    </w:p>
    <w:p>
      <w:pPr>
        <w:spacing w:after="120" w:before="80"/>
      </w:pPr>
      <w:r>
        <w:rPr>
          <w:rFonts w:ascii="Arial" w:cs="Arial" w:eastAsia="Arial" w:hAnsi="Arial"/>
          <w:sz w:val="22"/>
          <w:szCs w:val="22"/>
        </w:rPr>
        <w:t xml:space="preserve">The single most important strategic decision is whether to lead with the consumer market and expand into professional/B2B, or to pursue both simultaneously. This document recommends the former: ship a compliant, polished consumer product first, then layer in professional mode without a separate codebase.</w:t>
      </w:r>
    </w:p>
    <w:p>
      <w:r>
        <w:br w:type="page"/>
      </w:r>
    </w:p>
    <w:p>
      <w:pPr>
        <w:pStyle w:val="Heading1"/>
        <w:pBdr>
          <w:bottom w:val="single" w:color="3B1422" w:sz="8" w:space="4"/>
        </w:pBdr>
        <w:spacing w:after="120" w:before="360"/>
      </w:pPr>
      <w:r>
        <w:rPr>
          <w:rFonts w:ascii="Arial" w:cs="Arial" w:eastAsia="Arial" w:hAnsi="Arial"/>
          <w:b/>
          <w:bCs/>
          <w:color w:val="3B1422"/>
          <w:sz w:val="36"/>
          <w:szCs w:val="36"/>
        </w:rPr>
        <w:t xml:space="preserve">2. GDPR &amp; Compliance</w:t>
      </w:r>
    </w:p>
    <w:p>
      <w:pPr>
        <w:spacing w:after="120" w:before="80"/>
      </w:pPr>
      <w:r>
        <w:rPr>
          <w:rFonts w:ascii="Arial" w:cs="Arial" w:eastAsia="Arial" w:hAnsi="Arial"/>
          <w:sz w:val="22"/>
          <w:szCs w:val="22"/>
        </w:rPr>
        <w:t xml:space="preserve">GDPR compliance is the single highest-urgency track because it constrains architecture decisions that are expensive to change retroactively. The good news: because Vinage is a client-side PWA using Firebase (a compliant processor with a standard DPA), the blast radius is manageable. There are no self-operated servers processing personal data.</w:t>
      </w:r>
    </w:p>
    <w:p>
      <w:pPr>
        <w:pStyle w:val="Heading2"/>
        <w:spacing w:after="80" w:before="280"/>
      </w:pPr>
      <w:r>
        <w:rPr>
          <w:rFonts w:ascii="Arial" w:cs="Arial" w:eastAsia="Arial" w:hAnsi="Arial"/>
          <w:b/>
          <w:bCs/>
          <w:color w:val="3B1422"/>
          <w:sz w:val="28"/>
          <w:szCs w:val="28"/>
        </w:rPr>
        <w:t xml:space="preserve">2.1 Data Flows and Exposure Points</w:t>
      </w:r>
    </w:p>
    <w:p>
      <w:pPr>
        <w:spacing w:after="120" w:before="80"/>
      </w:pPr>
      <w:r>
        <w:rPr>
          <w:rFonts w:ascii="Arial" w:cs="Arial" w:eastAsia="Arial" w:hAnsi="Arial"/>
          <w:sz w:val="22"/>
          <w:szCs w:val="22"/>
        </w:rPr>
        <w:t xml:space="preserve">The following data flows involve personal or potentially personal data and each requires a legal basis and, where applicable, a processor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160"/>
        <w:gridCol w:w="2400"/>
      </w:tblGrid>
      <w:tr>
        <w:trPr>
          <w:tblHeader/>
        </w:trPr>
        <w:tc>
          <w:tcPr>
            <w:tcW w:type="dxa" w:w="28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Data Flow</w:t>
            </w:r>
          </w:p>
        </w:tc>
        <w:tc>
          <w:tcPr>
            <w:tcW w:type="dxa" w:w="416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What is processed</w:t>
            </w:r>
          </w:p>
        </w:tc>
        <w:tc>
          <w:tcPr>
            <w:tcW w:type="dxa" w:w="24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Legal basis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Firebase Auth</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Email address, account identifiers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 (Art. 6(1)(b))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Firebase Firestore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Wine collection, location data, consumption logs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 (Art. 6(1)(b))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Firebase Storage</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Wine label photos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 (Art. 6(1)(b))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OpenAI / Anthropic API</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Bottle names sent for enrichment — potentially linked to user</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Legitimate interest; must be disclosed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OrigoVero API</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GTIN lookups; serial numbers are per-bottle identifiers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Legitimate interest; must be disclosed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Geolocation (Nominatim)</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Used for food pairing region lookup — no storage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Consent (explicitly requested)</w:t>
            </w:r>
          </w:p>
        </w:tc>
      </w:tr>
    </w:tbl>
    <w:p>
      <w:pPr>
        <w:spacing w:after="80" w:before="0"/>
      </w:pPr>
      <w:r>
        <w:t xml:space="preserve"/>
      </w:r>
    </w:p>
    <w:p>
      <w:pPr>
        <w:pStyle w:val="Heading2"/>
        <w:spacing w:after="80" w:before="280"/>
      </w:pPr>
      <w:r>
        <w:rPr>
          <w:rFonts w:ascii="Arial" w:cs="Arial" w:eastAsia="Arial" w:hAnsi="Arial"/>
          <w:b/>
          <w:bCs/>
          <w:color w:val="3B1422"/>
          <w:sz w:val="28"/>
          <w:szCs w:val="28"/>
        </w:rPr>
        <w:t xml:space="preserve">2.2 Required Compliance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1800"/>
        <w:gridCol w:w="1700"/>
      </w:tblGrid>
      <w:tr>
        <w:trPr>
          <w:tblHeader/>
        </w:trPr>
        <w:tc>
          <w:tcPr>
            <w:tcW w:type="dxa" w:w="22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66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18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7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Firebase DPA</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Google's Data Processing Amendment in Firebase Console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(one-click)</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Before 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Privacy Policy</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Publish a policy covering all processors above, data categories, retention, and user rights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(1–2 days)</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Before 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Sub-processor SCCs</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OpenAI and Anthropic are US-based — SCCs via their standard terms cover transfer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(accept terms)</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Before 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Cookie/storage notice</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PWA uses localStorage for app function, not tracking — document this; no consent banner needed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Before 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Account deletion flow</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Users must be able to delete their account and all associated data (Firestore + Auth + Storage)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(1–2 days)</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Before launch</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Data export</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to portability: export collection as JSON/CSV on request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(1 day)</w:t>
            </w:r>
          </w:p>
        </w:tc>
        <w:tc>
          <w:tcPr>
            <w:tcW w:type="dxa" w:w="144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Data retention policy</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how long data is kept after account deletion; automate cleanup via Cloud Function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44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Children's data</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age gate (13+) if no parental consent mechanism is implemented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44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V1</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B2B DPA template</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restaurants use Vinage to store customer/guest data, a controller–processor DPA is needed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440"/>
            <w:tcBorders>
              <w:top w:val="single" w:color="DDDDDD" w:sz="1"/>
              <w:left w:val="single" w:color="DDDDDD" w:sz="1"/>
              <w:bottom w:val="single" w:color="DDDDDD" w:sz="1"/>
              <w:right w:val="single" w:color="DDDDDD" w:sz="1"/>
            </w:tcBorders>
            <w:shd w:fill="1565C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Professional mode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AI training opt-out</w:t>
            </w:r>
          </w:p>
        </w:tc>
        <w:tc>
          <w:tcPr>
            <w:tcW w:type="dxa" w:w="3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Ensure OpenAI/Anthropic API calls are configured with training opt-out; document in policy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Before launch</w:t>
            </w:r>
          </w:p>
        </w:tc>
      </w:tr>
    </w:tbl>
    <w:p>
      <w:pPr>
        <w:spacing w:after="80" w:before="0"/>
      </w:pPr>
      <w:r>
        <w:t xml:space="preserve"/>
      </w:r>
    </w:p>
    <w:p>
      <w:pPr>
        <w:pStyle w:val="Heading2"/>
        <w:spacing w:after="80" w:before="280"/>
      </w:pPr>
      <w:r>
        <w:rPr>
          <w:rFonts w:ascii="Arial" w:cs="Arial" w:eastAsia="Arial" w:hAnsi="Arial"/>
          <w:b/>
          <w:bCs/>
          <w:color w:val="3B1422"/>
          <w:sz w:val="28"/>
          <w:szCs w:val="28"/>
        </w:rPr>
        <w:t xml:space="preserve">2.3 What Does NOT Need to Change</w:t>
      </w:r>
    </w:p>
    <w:p>
      <w:pPr>
        <w:spacing w:after="120" w:before="80"/>
      </w:pPr>
      <w:r>
        <w:rPr>
          <w:rFonts w:ascii="Arial" w:cs="Arial" w:eastAsia="Arial" w:hAnsi="Arial"/>
          <w:sz w:val="22"/>
          <w:szCs w:val="22"/>
        </w:rPr>
        <w:t xml:space="preserve">Because Vinage stores data client-side (IndexedDB / localStorage) for offline use and syncs only to Firebase:</w:t>
      </w:r>
    </w:p>
    <w:p>
      <w:pPr>
        <w:pStyle w:val="ListParagraph"/>
        <w:numPr>
          <w:ilvl w:val="0"/>
          <w:numId w:val="2"/>
        </w:numPr>
        <w:spacing w:after="40" w:before="40"/>
      </w:pPr>
      <w:r>
        <w:rPr>
          <w:rFonts w:ascii="Arial" w:cs="Arial" w:eastAsia="Arial" w:hAnsi="Arial"/>
          <w:sz w:val="22"/>
          <w:szCs w:val="22"/>
        </w:rPr>
        <w:t xml:space="preserve">No self-hosted server processing personal data — no need for Article 30 records as a processor</w:t>
      </w:r>
    </w:p>
    <w:p>
      <w:pPr>
        <w:pStyle w:val="ListParagraph"/>
        <w:numPr>
          <w:ilvl w:val="0"/>
          <w:numId w:val="2"/>
        </w:numPr>
        <w:spacing w:after="40" w:before="40"/>
      </w:pPr>
      <w:r>
        <w:rPr>
          <w:rFonts w:ascii="Arial" w:cs="Arial" w:eastAsia="Arial" w:hAnsi="Arial"/>
          <w:sz w:val="22"/>
          <w:szCs w:val="22"/>
        </w:rPr>
        <w:t xml:space="preserve">No third-party analytics or ad networks — no cookie consent banner required</w:t>
      </w:r>
    </w:p>
    <w:p>
      <w:pPr>
        <w:pStyle w:val="ListParagraph"/>
        <w:numPr>
          <w:ilvl w:val="0"/>
          <w:numId w:val="2"/>
        </w:numPr>
        <w:spacing w:after="40" w:before="40"/>
      </w:pPr>
      <w:r>
        <w:rPr>
          <w:rFonts w:ascii="Arial" w:cs="Arial" w:eastAsia="Arial" w:hAnsi="Arial"/>
          <w:sz w:val="22"/>
          <w:szCs w:val="22"/>
        </w:rPr>
        <w:t xml:space="preserve">Household sync only links accounts the user explicitly invites — no social graph concerns</w:t>
      </w:r>
    </w:p>
    <w:p>
      <w:pPr>
        <w:pStyle w:val="ListParagraph"/>
        <w:numPr>
          <w:ilvl w:val="0"/>
          <w:numId w:val="2"/>
        </w:numPr>
        <w:spacing w:after="40" w:before="40"/>
      </w:pPr>
      <w:r>
        <w:rPr>
          <w:rFonts w:ascii="Arial" w:cs="Arial" w:eastAsia="Arial" w:hAnsi="Arial"/>
          <w:sz w:val="22"/>
          <w:szCs w:val="22"/>
        </w:rPr>
        <w:t xml:space="preserve">The OrigoVero DPP lookup is a GTIN query (product-level), not user-level, unless serial numbers are stored per-user — worth clarifying with Ed</w:t>
      </w:r>
    </w:p>
    <w:p>
      <w:r>
        <w:br w:type="page"/>
      </w:r>
    </w:p>
    <w:p>
      <w:pPr>
        <w:pStyle w:val="Heading1"/>
        <w:pBdr>
          <w:bottom w:val="single" w:color="3B1422" w:sz="8" w:space="4"/>
        </w:pBdr>
        <w:spacing w:after="120" w:before="360"/>
      </w:pPr>
      <w:r>
        <w:rPr>
          <w:rFonts w:ascii="Arial" w:cs="Arial" w:eastAsia="Arial" w:hAnsi="Arial"/>
          <w:b/>
          <w:bCs/>
          <w:color w:val="3B1422"/>
          <w:sz w:val="36"/>
          <w:szCs w:val="36"/>
        </w:rPr>
        <w:t xml:space="preserve">3. Business Model Options</w:t>
      </w:r>
    </w:p>
    <w:p>
      <w:pPr>
        <w:spacing w:after="120" w:before="80"/>
      </w:pPr>
      <w:r>
        <w:rPr>
          <w:rFonts w:ascii="Arial" w:cs="Arial" w:eastAsia="Arial" w:hAnsi="Arial"/>
          <w:sz w:val="22"/>
          <w:szCs w:val="22"/>
        </w:rPr>
        <w:t xml:space="preserve">Three revenue models are realistic for Vinage, and they are not mutually exclusive. The recommended path is to stack them across time rather than try to launch all three simultaneously.</w:t>
      </w:r>
    </w:p>
    <w:p>
      <w:pPr>
        <w:pStyle w:val="Heading2"/>
        <w:spacing w:after="80" w:before="280"/>
      </w:pPr>
      <w:r>
        <w:rPr>
          <w:rFonts w:ascii="Arial" w:cs="Arial" w:eastAsia="Arial" w:hAnsi="Arial"/>
          <w:b/>
          <w:bCs/>
          <w:color w:val="3B1422"/>
          <w:sz w:val="28"/>
          <w:szCs w:val="28"/>
        </w:rPr>
        <w:t xml:space="preserve">3.1 Consumer Freemium / Subscription</w:t>
      </w:r>
    </w:p>
    <w:p>
      <w:pPr>
        <w:spacing w:after="120" w:before="80"/>
      </w:pPr>
      <w:r>
        <w:rPr>
          <w:rFonts w:ascii="Arial" w:cs="Arial" w:eastAsia="Arial" w:hAnsi="Arial"/>
          <w:sz w:val="22"/>
          <w:szCs w:val="22"/>
        </w:rPr>
        <w:t xml:space="preserve">The most natural entry point. Vinage already has a compelling consumer product. A freemium tier drives acquisition; a paid tier converts engaged users.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60"/>
        <w:gridCol w:w="2000"/>
      </w:tblGrid>
      <w:tr>
        <w:trPr>
          <w:tblHeader/>
        </w:trPr>
        <w:tc>
          <w:tcPr>
            <w:tcW w:type="dxa" w:w="18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Bottle limit</w:t>
            </w:r>
          </w:p>
        </w:tc>
        <w:tc>
          <w:tcPr>
            <w:tcW w:type="dxa" w:w="196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20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Free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bottles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Manual entry, basic stats, 1 cellar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Acquisition tier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Enthusiast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€ 2.99 / mo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 bottles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Barcode scan, AI enrichment, DPP, dark mode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Core paid tier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Collector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€ 5.99 / mo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Unlimited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Multi-cellar maps, household sync, export, priority AI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users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Gift / Annual</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€ 39.99 / yr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Unlimited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Collector, annual billing discount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Gifting occasion</w:t>
            </w:r>
          </w:p>
        </w:tc>
      </w:tr>
    </w:tbl>
    <w:p>
      <w:pPr>
        <w:spacing w:after="80" w:before="0"/>
      </w:pPr>
      <w:r>
        <w:t xml:space="preserve"/>
      </w:r>
    </w:p>
    <w:p>
      <w:pPr>
        <w:spacing w:after="120" w:before="80"/>
      </w:pPr>
      <w:r>
        <w:rPr>
          <w:rFonts w:ascii="Arial" w:cs="Arial" w:eastAsia="Arial" w:hAnsi="Arial"/>
          <w:b/>
          <w:bCs/>
          <w:sz w:val="22"/>
          <w:szCs w:val="22"/>
        </w:rPr>
        <w:t xml:space="preserve">AI enrichment cost note: </w:t>
      </w:r>
      <w:r>
        <w:rPr>
          <w:rFonts w:ascii="Arial" w:cs="Arial" w:eastAsia="Arial" w:hAnsi="Arial"/>
          <w:sz w:val="22"/>
          <w:szCs w:val="22"/>
        </w:rPr>
        <w:t xml:space="preserve">Each AI enrichment call currently goes to OpenAI or Anthropic at roughly € 0.002–0.01 per call depending on model and response length. At Collector tier pricing this is viable at moderate usage. The cost should be monitored and a per-month enrichment cap considered for the Free tier.</w:t>
      </w:r>
    </w:p>
    <w:p>
      <w:pPr>
        <w:pStyle w:val="Heading2"/>
        <w:spacing w:after="80" w:before="280"/>
      </w:pPr>
      <w:r>
        <w:rPr>
          <w:rFonts w:ascii="Arial" w:cs="Arial" w:eastAsia="Arial" w:hAnsi="Arial"/>
          <w:b/>
          <w:bCs/>
          <w:color w:val="3B1422"/>
          <w:sz w:val="28"/>
          <w:szCs w:val="28"/>
        </w:rPr>
        <w:t xml:space="preserve">3.2 B2B — Wine Merchants &amp; Producers</w:t>
      </w:r>
    </w:p>
    <w:p>
      <w:pPr>
        <w:spacing w:after="120" w:before="80"/>
      </w:pPr>
      <w:r>
        <w:rPr>
          <w:rFonts w:ascii="Arial" w:cs="Arial" w:eastAsia="Arial" w:hAnsi="Arial"/>
          <w:sz w:val="22"/>
          <w:szCs w:val="22"/>
        </w:rPr>
        <w:t xml:space="preserve">Wine merchants (wijnhandels), importers, and producers have an incentive to appear in a consumer cellar app. Revenue model: placement / promotion fee or a data feed integration fee.</w:t>
      </w:r>
    </w:p>
    <w:p>
      <w:pPr>
        <w:pStyle w:val="ListParagraph"/>
        <w:numPr>
          <w:ilvl w:val="0"/>
          <w:numId w:val="2"/>
        </w:numPr>
        <w:spacing w:after="40" w:before="40"/>
      </w:pPr>
      <w:r>
        <w:rPr>
          <w:rFonts w:ascii="Arial" w:cs="Arial" w:eastAsia="Arial" w:hAnsi="Arial"/>
          <w:sz w:val="22"/>
          <w:szCs w:val="22"/>
        </w:rPr>
        <w:t xml:space="preserve">Merchant profile pages inside Vinage (wines tagged with source merchant)</w:t>
      </w:r>
    </w:p>
    <w:p>
      <w:pPr>
        <w:pStyle w:val="ListParagraph"/>
        <w:numPr>
          <w:ilvl w:val="0"/>
          <w:numId w:val="2"/>
        </w:numPr>
        <w:spacing w:after="40" w:before="40"/>
      </w:pPr>
      <w:r>
        <w:rPr>
          <w:rFonts w:ascii="Arial" w:cs="Arial" w:eastAsia="Arial" w:hAnsi="Arial"/>
          <w:sz w:val="22"/>
          <w:szCs w:val="22"/>
        </w:rPr>
        <w:t xml:space="preserve">Push notifications for restocking offers on wines in a user's cellar</w:t>
      </w:r>
    </w:p>
    <w:p>
      <w:pPr>
        <w:pStyle w:val="ListParagraph"/>
        <w:numPr>
          <w:ilvl w:val="0"/>
          <w:numId w:val="2"/>
        </w:numPr>
        <w:spacing w:after="40" w:before="40"/>
      </w:pPr>
      <w:r>
        <w:rPr>
          <w:rFonts w:ascii="Arial" w:cs="Arial" w:eastAsia="Arial" w:hAnsi="Arial"/>
          <w:sz w:val="22"/>
          <w:szCs w:val="22"/>
        </w:rPr>
        <w:t xml:space="preserve">API for merchants to push their catalogue into Vinage scan results</w:t>
      </w:r>
    </w:p>
    <w:p>
      <w:pPr>
        <w:pStyle w:val="ListParagraph"/>
        <w:numPr>
          <w:ilvl w:val="0"/>
          <w:numId w:val="2"/>
        </w:numPr>
        <w:spacing w:after="40" w:before="40"/>
      </w:pPr>
      <w:r>
        <w:rPr>
          <w:rFonts w:ascii="Arial" w:cs="Arial" w:eastAsia="Arial" w:hAnsi="Arial"/>
          <w:sz w:val="22"/>
          <w:szCs w:val="22"/>
        </w:rPr>
        <w:t xml:space="preserve">Pricing: € 49–199 / month per merchant depending on catalogue size and feature level</w:t>
      </w:r>
    </w:p>
    <w:p>
      <w:pPr>
        <w:spacing w:after="80" w:before="0"/>
      </w:pPr>
      <w:r>
        <w:t xml:space="preserve"/>
      </w:r>
    </w:p>
    <w:p>
      <w:pPr>
        <w:spacing w:after="120" w:before="80"/>
      </w:pPr>
      <w:r>
        <w:rPr>
          <w:rFonts w:ascii="Arial" w:cs="Arial" w:eastAsia="Arial" w:hAnsi="Arial"/>
          <w:b/>
          <w:bCs/>
          <w:sz w:val="22"/>
          <w:szCs w:val="22"/>
        </w:rPr>
        <w:t xml:space="preserve">OrigoVero angle: </w:t>
      </w:r>
      <w:r>
        <w:rPr>
          <w:rFonts w:ascii="Arial" w:cs="Arial" w:eastAsia="Arial" w:hAnsi="Arial"/>
          <w:sz w:val="22"/>
          <w:szCs w:val="22"/>
        </w:rPr>
        <w:t xml:space="preserve">If OrigoVero signs wine companies, those companies are already paying for DPP infrastructure. Vinage could be positioned as the consumer-facing touchpoint that gives their DPP data visibility — a joint go-to-market with OrigoVero rather than competing with them. This is a strong hook once OrigoVero's wine catalogue grows.</w:t>
      </w:r>
    </w:p>
    <w:p>
      <w:pPr>
        <w:pStyle w:val="Heading2"/>
        <w:spacing w:after="80" w:before="280"/>
      </w:pPr>
      <w:r>
        <w:rPr>
          <w:rFonts w:ascii="Arial" w:cs="Arial" w:eastAsia="Arial" w:hAnsi="Arial"/>
          <w:b/>
          <w:bCs/>
          <w:color w:val="3B1422"/>
          <w:sz w:val="28"/>
          <w:szCs w:val="28"/>
        </w:rPr>
        <w:t xml:space="preserve">3.3 Professional Mode — Restaurants &amp; Sommeliers</w:t>
      </w:r>
    </w:p>
    <w:p>
      <w:pPr>
        <w:spacing w:after="120" w:before="80"/>
      </w:pPr>
      <w:r>
        <w:rPr>
          <w:rFonts w:ascii="Arial" w:cs="Arial" w:eastAsia="Arial" w:hAnsi="Arial"/>
          <w:sz w:val="22"/>
          <w:szCs w:val="22"/>
        </w:rPr>
        <w:t xml:space="preserve">The highest revenue potential per customer, but also the longest sales cycle. Professional mode should be built as a feature flag on the same codebase rather than a separate app — account type drives UX switching.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960"/>
        <w:gridCol w:w="2000"/>
      </w:tblGrid>
      <w:tr>
        <w:trPr>
          <w:tblHeader/>
        </w:trPr>
        <w:tc>
          <w:tcPr>
            <w:tcW w:type="dxa" w:w="18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Price</w:t>
            </w:r>
          </w:p>
        </w:tc>
        <w:tc>
          <w:tcPr>
            <w:tcW w:type="dxa" w:w="18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196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c>
          <w:tcPr>
            <w:tcW w:type="dxa" w:w="20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Starter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€ 29 / mo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user</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Cellar management, DPP, basic pairing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Small wine bar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Pro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€ 79 / mo</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users</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Stock alerts, bulk import, guest-facing wine list export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Restaurant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Enterprise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Unlimited</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POS integration, custom branding, dedicated support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Hotel / chain</w:t>
            </w:r>
          </w:p>
        </w:tc>
      </w:tr>
    </w:tbl>
    <w:p>
      <w:pPr>
        <w:spacing w:after="80" w:before="0"/>
      </w:pPr>
      <w:r>
        <w:t xml:space="preserve"/>
      </w:r>
    </w:p>
    <w:p>
      <w:pPr>
        <w:spacing w:after="120" w:before="80"/>
      </w:pPr>
      <w:r>
        <w:rPr>
          <w:rFonts w:ascii="Arial" w:cs="Arial" w:eastAsia="Arial" w:hAnsi="Arial"/>
          <w:sz w:val="22"/>
          <w:szCs w:val="22"/>
        </w:rPr>
        <w:t xml:space="preserve">Professional mode differentiators (features not in consumer app):</w:t>
      </w:r>
    </w:p>
    <w:p>
      <w:pPr>
        <w:pStyle w:val="ListParagraph"/>
        <w:numPr>
          <w:ilvl w:val="0"/>
          <w:numId w:val="2"/>
        </w:numPr>
        <w:spacing w:after="40" w:before="40"/>
      </w:pPr>
      <w:r>
        <w:rPr>
          <w:rFonts w:ascii="Arial" w:cs="Arial" w:eastAsia="Arial" w:hAnsi="Arial"/>
          <w:sz w:val="22"/>
          <w:szCs w:val="22"/>
        </w:rPr>
        <w:t xml:space="preserve">Stock quantity management with low-stock alerts</w:t>
      </w:r>
    </w:p>
    <w:p>
      <w:pPr>
        <w:pStyle w:val="ListParagraph"/>
        <w:numPr>
          <w:ilvl w:val="0"/>
          <w:numId w:val="2"/>
        </w:numPr>
        <w:spacing w:after="40" w:before="40"/>
      </w:pPr>
      <w:r>
        <w:rPr>
          <w:rFonts w:ascii="Arial" w:cs="Arial" w:eastAsia="Arial" w:hAnsi="Arial"/>
          <w:sz w:val="22"/>
          <w:szCs w:val="22"/>
        </w:rPr>
        <w:t xml:space="preserve">Par-level configuration per wine</w:t>
      </w:r>
    </w:p>
    <w:p>
      <w:pPr>
        <w:pStyle w:val="ListParagraph"/>
        <w:numPr>
          <w:ilvl w:val="0"/>
          <w:numId w:val="2"/>
        </w:numPr>
        <w:spacing w:after="40" w:before="40"/>
      </w:pPr>
      <w:r>
        <w:rPr>
          <w:rFonts w:ascii="Arial" w:cs="Arial" w:eastAsia="Arial" w:hAnsi="Arial"/>
          <w:sz w:val="22"/>
          <w:szCs w:val="22"/>
        </w:rPr>
        <w:t xml:space="preserve">Bulk CSV import for wine lists</w:t>
      </w:r>
    </w:p>
    <w:p>
      <w:pPr>
        <w:pStyle w:val="ListParagraph"/>
        <w:numPr>
          <w:ilvl w:val="0"/>
          <w:numId w:val="2"/>
        </w:numPr>
        <w:spacing w:after="40" w:before="40"/>
      </w:pPr>
      <w:r>
        <w:rPr>
          <w:rFonts w:ascii="Arial" w:cs="Arial" w:eastAsia="Arial" w:hAnsi="Arial"/>
          <w:sz w:val="22"/>
          <w:szCs w:val="22"/>
        </w:rPr>
        <w:t xml:space="preserve">Guest-facing wine list (QR-code-accessible PDF or web view)</w:t>
      </w:r>
    </w:p>
    <w:p>
      <w:pPr>
        <w:pStyle w:val="ListParagraph"/>
        <w:numPr>
          <w:ilvl w:val="0"/>
          <w:numId w:val="2"/>
        </w:numPr>
        <w:spacing w:after="40" w:before="40"/>
      </w:pPr>
      <w:r>
        <w:rPr>
          <w:rFonts w:ascii="Arial" w:cs="Arial" w:eastAsia="Arial" w:hAnsi="Arial"/>
          <w:sz w:val="22"/>
          <w:szCs w:val="22"/>
        </w:rPr>
        <w:t xml:space="preserve">Service temperature and decanting guide displayed tableside (via tablet mode)</w:t>
      </w:r>
    </w:p>
    <w:p>
      <w:pPr>
        <w:pStyle w:val="ListParagraph"/>
        <w:numPr>
          <w:ilvl w:val="0"/>
          <w:numId w:val="2"/>
        </w:numPr>
        <w:spacing w:after="40" w:before="40"/>
      </w:pPr>
      <w:r>
        <w:rPr>
          <w:rFonts w:ascii="Arial" w:cs="Arial" w:eastAsia="Arial" w:hAnsi="Arial"/>
          <w:sz w:val="22"/>
          <w:szCs w:val="22"/>
        </w:rPr>
        <w:t xml:space="preserve">Multi-outlet / multi-cellar with role-based access</w:t>
      </w:r>
    </w:p>
    <w:p>
      <w:pPr>
        <w:pStyle w:val="Heading2"/>
        <w:spacing w:after="80" w:before="280"/>
      </w:pPr>
      <w:r>
        <w:rPr>
          <w:rFonts w:ascii="Arial" w:cs="Arial" w:eastAsia="Arial" w:hAnsi="Arial"/>
          <w:b/>
          <w:bCs/>
          <w:color w:val="3B1422"/>
          <w:sz w:val="28"/>
          <w:szCs w:val="28"/>
        </w:rPr>
        <w:t xml:space="preserve">3.4 Recommended Sequencing</w:t>
      </w:r>
    </w:p>
    <w:p>
      <w:pPr>
        <w:spacing w:after="120" w:before="80"/>
      </w:pPr>
      <w:r>
        <w:rPr>
          <w:rFonts w:ascii="Arial" w:cs="Arial" w:eastAsia="Arial" w:hAnsi="Arial"/>
          <w:sz w:val="22"/>
          <w:szCs w:val="22"/>
        </w:rPr>
        <w:t xml:space="preserve">The risk of going B2B too early is building sales infrastructure before the product is proven. The risk of staying consumer-only too long is leaving revenue on the table. The recommended sequencing:</w:t>
      </w:r>
    </w:p>
    <w:p>
      <w:pPr>
        <w:pStyle w:val="ListParagraph"/>
        <w:numPr>
          <w:ilvl w:val="0"/>
          <w:numId w:val="2"/>
        </w:numPr>
        <w:spacing w:after="40" w:before="40"/>
      </w:pPr>
      <w:r>
        <w:rPr>
          <w:rFonts w:ascii="Arial" w:cs="Arial" w:eastAsia="Arial" w:hAnsi="Arial"/>
          <w:sz w:val="22"/>
          <w:szCs w:val="22"/>
        </w:rPr>
        <w:t xml:space="preserve">Launch consumer app (compliant) → validate retention and engagement</w:t>
      </w:r>
    </w:p>
    <w:p>
      <w:pPr>
        <w:pStyle w:val="ListParagraph"/>
        <w:numPr>
          <w:ilvl w:val="0"/>
          <w:numId w:val="2"/>
        </w:numPr>
        <w:spacing w:after="40" w:before="40"/>
      </w:pPr>
      <w:r>
        <w:rPr>
          <w:rFonts w:ascii="Arial" w:cs="Arial" w:eastAsia="Arial" w:hAnsi="Arial"/>
          <w:sz w:val="22"/>
          <w:szCs w:val="22"/>
        </w:rPr>
        <w:t xml:space="preserve">Introduce Enthusiast subscription within 60 days of launch using Stripe or RevenueCat</w:t>
      </w:r>
    </w:p>
    <w:p>
      <w:pPr>
        <w:pStyle w:val="ListParagraph"/>
        <w:numPr>
          <w:ilvl w:val="0"/>
          <w:numId w:val="2"/>
        </w:numPr>
        <w:spacing w:after="40" w:before="40"/>
      </w:pPr>
      <w:r>
        <w:rPr>
          <w:rFonts w:ascii="Arial" w:cs="Arial" w:eastAsia="Arial" w:hAnsi="Arial"/>
          <w:sz w:val="22"/>
          <w:szCs w:val="22"/>
        </w:rPr>
        <w:t xml:space="preserve">Approach 3–5 restaurants for a closed beta of professional mode at no cost (builds case studies)</w:t>
      </w:r>
    </w:p>
    <w:p>
      <w:pPr>
        <w:pStyle w:val="ListParagraph"/>
        <w:numPr>
          <w:ilvl w:val="0"/>
          <w:numId w:val="2"/>
        </w:numPr>
        <w:spacing w:after="40" w:before="40"/>
      </w:pPr>
      <w:r>
        <w:rPr>
          <w:rFonts w:ascii="Arial" w:cs="Arial" w:eastAsia="Arial" w:hAnsi="Arial"/>
          <w:sz w:val="22"/>
          <w:szCs w:val="22"/>
        </w:rPr>
        <w:t xml:space="preserve">Open B2B waitlist once 2 reference customers are live</w:t>
      </w:r>
    </w:p>
    <w:p>
      <w:pPr>
        <w:pStyle w:val="ListParagraph"/>
        <w:numPr>
          <w:ilvl w:val="0"/>
          <w:numId w:val="2"/>
        </w:numPr>
        <w:spacing w:after="40" w:before="40"/>
      </w:pPr>
      <w:r>
        <w:rPr>
          <w:rFonts w:ascii="Arial" w:cs="Arial" w:eastAsia="Arial" w:hAnsi="Arial"/>
          <w:sz w:val="22"/>
          <w:szCs w:val="22"/>
        </w:rPr>
        <w:t xml:space="preserve">Merchant partnerships only after consumer base reaches meaningful scale (500+ active users)</w:t>
      </w:r>
    </w:p>
    <w:p>
      <w:r>
        <w:br w:type="page"/>
      </w:r>
    </w:p>
    <w:p>
      <w:pPr>
        <w:pStyle w:val="Heading1"/>
        <w:pBdr>
          <w:bottom w:val="single" w:color="3B1422" w:sz="8" w:space="4"/>
        </w:pBdr>
        <w:spacing w:after="120" w:before="360"/>
      </w:pPr>
      <w:r>
        <w:rPr>
          <w:rFonts w:ascii="Arial" w:cs="Arial" w:eastAsia="Arial" w:hAnsi="Arial"/>
          <w:b/>
          <w:bCs/>
          <w:color w:val="3B1422"/>
          <w:sz w:val="36"/>
          <w:szCs w:val="36"/>
        </w:rPr>
        <w:t xml:space="preserve">4. Product Roadmap</w:t>
      </w:r>
    </w:p>
    <w:p>
      <w:pPr>
        <w:spacing w:after="120" w:before="80"/>
      </w:pPr>
      <w:r>
        <w:rPr>
          <w:rFonts w:ascii="Arial" w:cs="Arial" w:eastAsia="Arial" w:hAnsi="Arial"/>
          <w:sz w:val="22"/>
          <w:szCs w:val="22"/>
        </w:rPr>
        <w:t xml:space="preserve">The roadmap is organised into four phases. Each phase has a clear theme and gates the next. Items in “Must” are launch blockers; “Should” items ship within the phase; “Could” items are deferred if capacity is tight.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560"/>
        <w:gridCol w:w="4400"/>
        <w:gridCol w:w="1400"/>
      </w:tblGrid>
      <w:tr>
        <w:trPr>
          <w:tblHeader/>
        </w:trPr>
        <w:tc>
          <w:tcPr>
            <w:tcW w:type="dxa" w:w="9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1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156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Theme</w:t>
            </w:r>
          </w:p>
        </w:tc>
        <w:tc>
          <w:tcPr>
            <w:tcW w:type="dxa" w:w="44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14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V0</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Compliance &amp; Polish</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GDPR privacy policy, account deletion flow, safe-area fixes, language toggle layout, final QA</w:t>
            </w:r>
          </w:p>
        </w:tc>
        <w:tc>
          <w:tcPr>
            <w:tcW w:type="dxa" w:w="1440"/>
            <w:tcBorders>
              <w:top w:val="single" w:color="DDDDDD" w:sz="1"/>
              <w:left w:val="single" w:color="DDDDDD" w:sz="1"/>
              <w:bottom w:val="single" w:color="DDDDDD" w:sz="1"/>
              <w:right w:val="single" w:color="DDDDDD" w:sz="1"/>
            </w:tcBorders>
            <w:sh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3B1422</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V1</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Months 1–2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Consumer Launch</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Subscription paywall (Stripe), data export, onboarding flow, push notifications (drink-soon alerts), App Store PWA listing</w:t>
            </w:r>
          </w:p>
        </w:tc>
        <w:tc>
          <w:tcPr>
            <w:tcW w:type="dxa" w:w="1440"/>
            <w:tcBorders>
              <w:top w:val="single" w:color="DDDDDD" w:sz="1"/>
              <w:left w:val="single" w:color="DDDDDD" w:sz="1"/>
              <w:bottom w:val="single" w:color="DDDDDD" w:sz="1"/>
              <w:right w:val="single" w:color="DDDDDD" w:sz="1"/>
            </w:tcBorders>
            <w:sh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E65100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V2</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Months 3–5</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Professional Beta</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Professional mode flag, stock management, bulk import, guest wine list, restaurant onboarding</w:t>
            </w:r>
          </w:p>
        </w:tc>
        <w:tc>
          <w:tcPr>
            <w:tcW w:type="dxa" w:w="1440"/>
            <w:tcBorders>
              <w:top w:val="single" w:color="DDDDDD" w:sz="1"/>
              <w:left w:val="single" w:color="DDDDDD" w:sz="1"/>
              <w:bottom w:val="single" w:color="DDDDDD" w:sz="1"/>
              <w:right w:val="single" w:color="DDDDDD" w:sz="1"/>
            </w:tcBorders>
            <w:sh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1565C0</w:t>
            </w:r>
          </w:p>
        </w:tc>
      </w:tr>
      <w:tr>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V3</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Months 6–12</w:t>
            </w:r>
          </w:p>
        </w:tc>
        <w:tc>
          <w:tcPr>
            <w:tcW w:type="dxa" w:w="1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Growth &amp; Partnerships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Merchant profiles, OrigoVero joint go-to-market, analytics dashboard, POS integrations, multi-language support expansion</w:t>
            </w:r>
          </w:p>
        </w:tc>
        <w:tc>
          <w:tcPr>
            <w:tcW w:type="dxa" w:w="1440"/>
            <w:tcBorders>
              <w:top w:val="single" w:color="DDDDDD" w:sz="1"/>
              <w:left w:val="single" w:color="DDDDDD" w:sz="1"/>
              <w:bottom w:val="single" w:color="DDDDDD" w:sz="1"/>
              <w:right w:val="single" w:color="DDDDDD" w:sz="1"/>
            </w:tcBorders>
            <w:shd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2E7D32</w:t>
            </w:r>
          </w:p>
        </w:tc>
      </w:tr>
    </w:tbl>
    <w:p>
      <w:pPr>
        <w:spacing w:after="80" w:before="0"/>
      </w:pPr>
      <w:r>
        <w:t xml:space="preserve"/>
      </w:r>
    </w:p>
    <w:p>
      <w:pPr>
        <w:pStyle w:val="Heading2"/>
        <w:spacing w:after="80" w:before="280"/>
      </w:pPr>
      <w:r>
        <w:rPr>
          <w:rFonts w:ascii="Arial" w:cs="Arial" w:eastAsia="Arial" w:hAnsi="Arial"/>
          <w:b/>
          <w:bCs/>
          <w:color w:val="3B1422"/>
          <w:sz w:val="28"/>
          <w:szCs w:val="28"/>
        </w:rPr>
        <w:t xml:space="preserve">4.1 Phase V0 — Compliance &amp; Polish (Current)</w:t>
      </w:r>
    </w:p>
    <w:p>
      <w:pPr>
        <w:pStyle w:val="Heading3"/>
        <w:spacing w:after="60" w:before="200"/>
      </w:pPr>
      <w:r>
        <w:rPr>
          <w:rFonts w:ascii="Arial" w:cs="Arial" w:eastAsia="Arial" w:hAnsi="Arial"/>
          <w:b/>
          <w:bCs/>
          <w:color w:val="A3835B"/>
          <w:sz w:val="24"/>
          <w:szCs w:val="24"/>
        </w:rPr>
        <w:t xml:space="preserve">Must ship before any public promotion</w:t>
      </w:r>
    </w:p>
    <w:p>
      <w:pPr>
        <w:pStyle w:val="ListParagraph"/>
        <w:numPr>
          <w:ilvl w:val="0"/>
          <w:numId w:val="2"/>
        </w:numPr>
        <w:spacing w:after="40" w:before="40"/>
      </w:pPr>
      <w:r>
        <w:rPr>
          <w:rFonts w:ascii="Arial" w:cs="Arial" w:eastAsia="Arial" w:hAnsi="Arial"/>
          <w:sz w:val="22"/>
          <w:szCs w:val="22"/>
        </w:rPr>
        <w:t xml:space="preserve">GDPR privacy policy published at /privacy</w:t>
      </w:r>
    </w:p>
    <w:p>
      <w:pPr>
        <w:pStyle w:val="ListParagraph"/>
        <w:numPr>
          <w:ilvl w:val="0"/>
          <w:numId w:val="2"/>
        </w:numPr>
        <w:spacing w:after="40" w:before="40"/>
      </w:pPr>
      <w:r>
        <w:rPr>
          <w:rFonts w:ascii="Arial" w:cs="Arial" w:eastAsia="Arial" w:hAnsi="Arial"/>
          <w:sz w:val="22"/>
          <w:szCs w:val="22"/>
        </w:rPr>
        <w:t xml:space="preserve">Account deletion flow in Settings (delete Firestore docs, Firebase Auth record, Storage files)</w:t>
      </w:r>
    </w:p>
    <w:p>
      <w:pPr>
        <w:pStyle w:val="ListParagraph"/>
        <w:numPr>
          <w:ilvl w:val="0"/>
          <w:numId w:val="2"/>
        </w:numPr>
        <w:spacing w:after="40" w:before="40"/>
      </w:pPr>
      <w:r>
        <w:rPr>
          <w:rFonts w:ascii="Arial" w:cs="Arial" w:eastAsia="Arial" w:hAnsi="Arial"/>
          <w:sz w:val="22"/>
          <w:szCs w:val="22"/>
        </w:rPr>
        <w:t xml:space="preserve">Firebase DPA accepted in console</w:t>
      </w:r>
    </w:p>
    <w:p>
      <w:pPr>
        <w:pStyle w:val="ListParagraph"/>
        <w:numPr>
          <w:ilvl w:val="0"/>
          <w:numId w:val="2"/>
        </w:numPr>
        <w:spacing w:after="40" w:before="40"/>
      </w:pPr>
      <w:r>
        <w:rPr>
          <w:rFonts w:ascii="Arial" w:cs="Arial" w:eastAsia="Arial" w:hAnsi="Arial"/>
          <w:sz w:val="22"/>
          <w:szCs w:val="22"/>
        </w:rPr>
        <w:t xml:space="preserve">OpenAI/Anthropic API calls configured with training opt-out headers</w:t>
      </w:r>
    </w:p>
    <w:p>
      <w:pPr>
        <w:pStyle w:val="ListParagraph"/>
        <w:numPr>
          <w:ilvl w:val="0"/>
          <w:numId w:val="2"/>
        </w:numPr>
        <w:spacing w:after="40" w:before="40"/>
      </w:pPr>
      <w:r>
        <w:rPr>
          <w:rFonts w:ascii="Arial" w:cs="Arial" w:eastAsia="Arial" w:hAnsi="Arial"/>
          <w:sz w:val="22"/>
          <w:szCs w:val="22"/>
        </w:rPr>
        <w:t xml:space="preserve">Safe-area insets correct on all screens (home, cellar, scan, settings)</w:t>
      </w:r>
    </w:p>
    <w:p>
      <w:pPr>
        <w:pStyle w:val="ListParagraph"/>
        <w:numPr>
          <w:ilvl w:val="0"/>
          <w:numId w:val="2"/>
        </w:numPr>
        <w:spacing w:after="40" w:before="40"/>
      </w:pPr>
      <w:r>
        <w:rPr>
          <w:rFonts w:ascii="Arial" w:cs="Arial" w:eastAsia="Arial" w:hAnsi="Arial"/>
          <w:sz w:val="22"/>
          <w:szCs w:val="22"/>
        </w:rPr>
        <w:t xml:space="preserve">Language toggle 3×2 grid layout (all 6 languages visible)</w:t>
      </w:r>
    </w:p>
    <w:p>
      <w:pPr>
        <w:pStyle w:val="Heading3"/>
        <w:spacing w:after="60" w:before="200"/>
      </w:pPr>
      <w:r>
        <w:rPr>
          <w:rFonts w:ascii="Arial" w:cs="Arial" w:eastAsia="Arial" w:hAnsi="Arial"/>
          <w:b/>
          <w:bCs/>
          <w:color w:val="A3835B"/>
          <w:sz w:val="24"/>
          <w:szCs w:val="24"/>
        </w:rPr>
        <w:t xml:space="preserve">Should ship</w:t>
      </w:r>
    </w:p>
    <w:p>
      <w:pPr>
        <w:pStyle w:val="ListParagraph"/>
        <w:numPr>
          <w:ilvl w:val="0"/>
          <w:numId w:val="2"/>
        </w:numPr>
        <w:spacing w:after="40" w:before="40"/>
      </w:pPr>
      <w:r>
        <w:rPr>
          <w:rFonts w:ascii="Arial" w:cs="Arial" w:eastAsia="Arial" w:hAnsi="Arial"/>
          <w:sz w:val="22"/>
          <w:szCs w:val="22"/>
        </w:rPr>
        <w:t xml:space="preserve">Terms of service page</w:t>
      </w:r>
    </w:p>
    <w:p>
      <w:pPr>
        <w:pStyle w:val="ListParagraph"/>
        <w:numPr>
          <w:ilvl w:val="0"/>
          <w:numId w:val="2"/>
        </w:numPr>
        <w:spacing w:after="40" w:before="40"/>
      </w:pPr>
      <w:r>
        <w:rPr>
          <w:rFonts w:ascii="Arial" w:cs="Arial" w:eastAsia="Arial" w:hAnsi="Arial"/>
          <w:sz w:val="22"/>
          <w:szCs w:val="22"/>
        </w:rPr>
        <w:t xml:space="preserve">About / version screen with legal links</w:t>
      </w:r>
    </w:p>
    <w:p>
      <w:pPr>
        <w:pStyle w:val="ListParagraph"/>
        <w:numPr>
          <w:ilvl w:val="0"/>
          <w:numId w:val="2"/>
        </w:numPr>
        <w:spacing w:after="40" w:before="40"/>
      </w:pPr>
      <w:r>
        <w:rPr>
          <w:rFonts w:ascii="Arial" w:cs="Arial" w:eastAsia="Arial" w:hAnsi="Arial"/>
          <w:sz w:val="22"/>
          <w:szCs w:val="22"/>
        </w:rPr>
        <w:t xml:space="preserve">iOS PWA install prompt / Add to Home Screen nudge</w:t>
      </w:r>
    </w:p>
    <w:p>
      <w:pPr>
        <w:pStyle w:val="ListParagraph"/>
        <w:numPr>
          <w:ilvl w:val="0"/>
          <w:numId w:val="2"/>
        </w:numPr>
        <w:spacing w:after="40" w:before="40"/>
      </w:pPr>
      <w:r>
        <w:rPr>
          <w:rFonts w:ascii="Arial" w:cs="Arial" w:eastAsia="Arial" w:hAnsi="Arial"/>
          <w:sz w:val="22"/>
          <w:szCs w:val="22"/>
        </w:rPr>
        <w:t xml:space="preserve">Performance: lazy-load wine images, reduce initial JS bundle size</w:t>
      </w:r>
    </w:p>
    <w:p>
      <w:pPr>
        <w:pStyle w:val="Heading2"/>
        <w:spacing w:after="80" w:before="280"/>
      </w:pPr>
      <w:r>
        <w:rPr>
          <w:rFonts w:ascii="Arial" w:cs="Arial" w:eastAsia="Arial" w:hAnsi="Arial"/>
          <w:b/>
          <w:bCs/>
          <w:color w:val="3B1422"/>
          <w:sz w:val="28"/>
          <w:szCs w:val="28"/>
        </w:rPr>
        <w:t xml:space="preserve">4.2 Phase V1 — Consumer Launch (Months 1–2)</w:t>
      </w:r>
    </w:p>
    <w:p>
      <w:pPr>
        <w:pStyle w:val="Heading3"/>
        <w:spacing w:after="60" w:before="200"/>
      </w:pPr>
      <w:r>
        <w:rPr>
          <w:rFonts w:ascii="Arial" w:cs="Arial" w:eastAsia="Arial" w:hAnsi="Arial"/>
          <w:b/>
          <w:bCs/>
          <w:color w:val="A3835B"/>
          <w:sz w:val="24"/>
          <w:szCs w:val="24"/>
        </w:rPr>
        <w:t xml:space="preserve">Must ship</w:t>
      </w:r>
    </w:p>
    <w:p>
      <w:pPr>
        <w:pStyle w:val="ListParagraph"/>
        <w:numPr>
          <w:ilvl w:val="0"/>
          <w:numId w:val="2"/>
        </w:numPr>
        <w:spacing w:after="40" w:before="40"/>
      </w:pPr>
      <w:r>
        <w:rPr>
          <w:rFonts w:ascii="Arial" w:cs="Arial" w:eastAsia="Arial" w:hAnsi="Arial"/>
          <w:sz w:val="22"/>
          <w:szCs w:val="22"/>
        </w:rPr>
        <w:t xml:space="preserve">Subscription paywall via Stripe Checkout or RevenueCat</w:t>
      </w:r>
    </w:p>
    <w:p>
      <w:pPr>
        <w:pStyle w:val="ListParagraph"/>
        <w:numPr>
          <w:ilvl w:val="0"/>
          <w:numId w:val="2"/>
        </w:numPr>
        <w:spacing w:after="40" w:before="40"/>
      </w:pPr>
      <w:r>
        <w:rPr>
          <w:rFonts w:ascii="Arial" w:cs="Arial" w:eastAsia="Arial" w:hAnsi="Arial"/>
          <w:sz w:val="22"/>
          <w:szCs w:val="22"/>
        </w:rPr>
        <w:t xml:space="preserve">Bottle count enforcement on Free tier (25 bottle limit)</w:t>
      </w:r>
    </w:p>
    <w:p>
      <w:pPr>
        <w:pStyle w:val="ListParagraph"/>
        <w:numPr>
          <w:ilvl w:val="0"/>
          <w:numId w:val="2"/>
        </w:numPr>
        <w:spacing w:after="40" w:before="40"/>
      </w:pPr>
      <w:r>
        <w:rPr>
          <w:rFonts w:ascii="Arial" w:cs="Arial" w:eastAsia="Arial" w:hAnsi="Arial"/>
          <w:sz w:val="22"/>
          <w:szCs w:val="22"/>
        </w:rPr>
        <w:t xml:space="preserve">Onboarding flow for new users (3–4 screen walkthrough)</w:t>
      </w:r>
    </w:p>
    <w:p>
      <w:pPr>
        <w:pStyle w:val="ListParagraph"/>
        <w:numPr>
          <w:ilvl w:val="0"/>
          <w:numId w:val="2"/>
        </w:numPr>
        <w:spacing w:after="40" w:before="40"/>
      </w:pPr>
      <w:r>
        <w:rPr>
          <w:rFonts w:ascii="Arial" w:cs="Arial" w:eastAsia="Arial" w:hAnsi="Arial"/>
          <w:sz w:val="22"/>
          <w:szCs w:val="22"/>
        </w:rPr>
        <w:t xml:space="preserve">Data export (JSON + CSV) from Settings</w:t>
      </w:r>
    </w:p>
    <w:p>
      <w:pPr>
        <w:pStyle w:val="Heading3"/>
        <w:spacing w:after="60" w:before="200"/>
      </w:pPr>
      <w:r>
        <w:rPr>
          <w:rFonts w:ascii="Arial" w:cs="Arial" w:eastAsia="Arial" w:hAnsi="Arial"/>
          <w:b/>
          <w:bCs/>
          <w:color w:val="A3835B"/>
          <w:sz w:val="24"/>
          <w:szCs w:val="24"/>
        </w:rPr>
        <w:t xml:space="preserve">Should ship</w:t>
      </w:r>
    </w:p>
    <w:p>
      <w:pPr>
        <w:pStyle w:val="ListParagraph"/>
        <w:numPr>
          <w:ilvl w:val="0"/>
          <w:numId w:val="2"/>
        </w:numPr>
        <w:spacing w:after="40" w:before="40"/>
      </w:pPr>
      <w:r>
        <w:rPr>
          <w:rFonts w:ascii="Arial" w:cs="Arial" w:eastAsia="Arial" w:hAnsi="Arial"/>
          <w:sz w:val="22"/>
          <w:szCs w:val="22"/>
        </w:rPr>
        <w:t xml:space="preserve">Push notifications for drink-soon alerts (via Web Push / Firebase FCM)</w:t>
      </w:r>
    </w:p>
    <w:p>
      <w:pPr>
        <w:pStyle w:val="ListParagraph"/>
        <w:numPr>
          <w:ilvl w:val="0"/>
          <w:numId w:val="2"/>
        </w:numPr>
        <w:spacing w:after="40" w:before="40"/>
      </w:pPr>
      <w:r>
        <w:rPr>
          <w:rFonts w:ascii="Arial" w:cs="Arial" w:eastAsia="Arial" w:hAnsi="Arial"/>
          <w:sz w:val="22"/>
          <w:szCs w:val="22"/>
        </w:rPr>
        <w:t xml:space="preserve">Wine ratings summary in Stats</w:t>
      </w:r>
    </w:p>
    <w:p>
      <w:pPr>
        <w:pStyle w:val="ListParagraph"/>
        <w:numPr>
          <w:ilvl w:val="0"/>
          <w:numId w:val="2"/>
        </w:numPr>
        <w:spacing w:after="40" w:before="40"/>
      </w:pPr>
      <w:r>
        <w:rPr>
          <w:rFonts w:ascii="Arial" w:cs="Arial" w:eastAsia="Arial" w:hAnsi="Arial"/>
          <w:sz w:val="22"/>
          <w:szCs w:val="22"/>
        </w:rPr>
        <w:t xml:space="preserve">Referral / share feature (“Share my cellar publicly” option)</w:t>
      </w:r>
    </w:p>
    <w:p>
      <w:pPr>
        <w:pStyle w:val="ListParagraph"/>
        <w:numPr>
          <w:ilvl w:val="0"/>
          <w:numId w:val="2"/>
        </w:numPr>
        <w:spacing w:after="40" w:before="40"/>
      </w:pPr>
      <w:r>
        <w:rPr>
          <w:rFonts w:ascii="Arial" w:cs="Arial" w:eastAsia="Arial" w:hAnsi="Arial"/>
          <w:sz w:val="22"/>
          <w:szCs w:val="22"/>
        </w:rPr>
        <w:t xml:space="preserve">Improved scan error handling with manual fallback entry</w:t>
      </w:r>
    </w:p>
    <w:p>
      <w:pPr>
        <w:pStyle w:val="Heading3"/>
        <w:spacing w:after="60" w:before="200"/>
      </w:pPr>
      <w:r>
        <w:rPr>
          <w:rFonts w:ascii="Arial" w:cs="Arial" w:eastAsia="Arial" w:hAnsi="Arial"/>
          <w:b/>
          <w:bCs/>
          <w:color w:val="A3835B"/>
          <w:sz w:val="24"/>
          <w:szCs w:val="24"/>
        </w:rPr>
        <w:t xml:space="preserve">Could ship</w:t>
      </w:r>
    </w:p>
    <w:p>
      <w:pPr>
        <w:pStyle w:val="ListParagraph"/>
        <w:numPr>
          <w:ilvl w:val="0"/>
          <w:numId w:val="2"/>
        </w:numPr>
        <w:spacing w:after="40" w:before="40"/>
      </w:pPr>
      <w:r>
        <w:rPr>
          <w:rFonts w:ascii="Arial" w:cs="Arial" w:eastAsia="Arial" w:hAnsi="Arial"/>
          <w:sz w:val="22"/>
          <w:szCs w:val="22"/>
        </w:rPr>
        <w:t xml:space="preserve">Apple / Google in-app purchase integration (for iOS App Store distribution)</w:t>
      </w:r>
    </w:p>
    <w:p>
      <w:pPr>
        <w:pStyle w:val="ListParagraph"/>
        <w:numPr>
          <w:ilvl w:val="0"/>
          <w:numId w:val="2"/>
        </w:numPr>
        <w:spacing w:after="40" w:before="40"/>
      </w:pPr>
      <w:r>
        <w:rPr>
          <w:rFonts w:ascii="Arial" w:cs="Arial" w:eastAsia="Arial" w:hAnsi="Arial"/>
          <w:sz w:val="22"/>
          <w:szCs w:val="22"/>
        </w:rPr>
        <w:t xml:space="preserve">Wishlist price-drop alerts via merchant API</w:t>
      </w:r>
    </w:p>
    <w:p>
      <w:pPr>
        <w:pStyle w:val="Heading2"/>
        <w:spacing w:after="80" w:before="280"/>
      </w:pPr>
      <w:r>
        <w:rPr>
          <w:rFonts w:ascii="Arial" w:cs="Arial" w:eastAsia="Arial" w:hAnsi="Arial"/>
          <w:b/>
          <w:bCs/>
          <w:color w:val="3B1422"/>
          <w:sz w:val="28"/>
          <w:szCs w:val="28"/>
        </w:rPr>
        <w:t xml:space="preserve">4.3 Phase V2 — Professional Beta (Months 3–5)</w:t>
      </w:r>
    </w:p>
    <w:p>
      <w:pPr>
        <w:pStyle w:val="Heading3"/>
        <w:spacing w:after="60" w:before="200"/>
      </w:pPr>
      <w:r>
        <w:rPr>
          <w:rFonts w:ascii="Arial" w:cs="Arial" w:eastAsia="Arial" w:hAnsi="Arial"/>
          <w:b/>
          <w:bCs/>
          <w:color w:val="A3835B"/>
          <w:sz w:val="24"/>
          <w:szCs w:val="24"/>
        </w:rPr>
        <w:t xml:space="preserve">Must ship</w:t>
      </w:r>
    </w:p>
    <w:p>
      <w:pPr>
        <w:pStyle w:val="ListParagraph"/>
        <w:numPr>
          <w:ilvl w:val="0"/>
          <w:numId w:val="2"/>
        </w:numPr>
        <w:spacing w:after="40" w:before="40"/>
      </w:pPr>
      <w:r>
        <w:rPr>
          <w:rFonts w:ascii="Arial" w:cs="Arial" w:eastAsia="Arial" w:hAnsi="Arial"/>
          <w:sz w:val="22"/>
          <w:szCs w:val="22"/>
        </w:rPr>
        <w:t xml:space="preserve">Account type: professional flag in Firestore</w:t>
      </w:r>
    </w:p>
    <w:p>
      <w:pPr>
        <w:pStyle w:val="ListParagraph"/>
        <w:numPr>
          <w:ilvl w:val="0"/>
          <w:numId w:val="2"/>
        </w:numPr>
        <w:spacing w:after="40" w:before="40"/>
      </w:pPr>
      <w:r>
        <w:rPr>
          <w:rFonts w:ascii="Arial" w:cs="Arial" w:eastAsia="Arial" w:hAnsi="Arial"/>
          <w:sz w:val="22"/>
          <w:szCs w:val="22"/>
        </w:rPr>
        <w:t xml:space="preserve">Stock quantity management (current stock vs. par level)</w:t>
      </w:r>
    </w:p>
    <w:p>
      <w:pPr>
        <w:pStyle w:val="ListParagraph"/>
        <w:numPr>
          <w:ilvl w:val="0"/>
          <w:numId w:val="2"/>
        </w:numPr>
        <w:spacing w:after="40" w:before="40"/>
      </w:pPr>
      <w:r>
        <w:rPr>
          <w:rFonts w:ascii="Arial" w:cs="Arial" w:eastAsia="Arial" w:hAnsi="Arial"/>
          <w:sz w:val="22"/>
          <w:szCs w:val="22"/>
        </w:rPr>
        <w:t xml:space="preserve">Low-stock alerts (push + in-app)</w:t>
      </w:r>
    </w:p>
    <w:p>
      <w:pPr>
        <w:pStyle w:val="ListParagraph"/>
        <w:numPr>
          <w:ilvl w:val="0"/>
          <w:numId w:val="2"/>
        </w:numPr>
        <w:spacing w:after="40" w:before="40"/>
      </w:pPr>
      <w:r>
        <w:rPr>
          <w:rFonts w:ascii="Arial" w:cs="Arial" w:eastAsia="Arial" w:hAnsi="Arial"/>
          <w:sz w:val="22"/>
          <w:szCs w:val="22"/>
        </w:rPr>
        <w:t xml:space="preserve">Bulk wine list import via CSV</w:t>
      </w:r>
    </w:p>
    <w:p>
      <w:pPr>
        <w:pStyle w:val="ListParagraph"/>
        <w:numPr>
          <w:ilvl w:val="0"/>
          <w:numId w:val="2"/>
        </w:numPr>
        <w:spacing w:after="40" w:before="40"/>
      </w:pPr>
      <w:r>
        <w:rPr>
          <w:rFonts w:ascii="Arial" w:cs="Arial" w:eastAsia="Arial" w:hAnsi="Arial"/>
          <w:sz w:val="22"/>
          <w:szCs w:val="22"/>
        </w:rPr>
        <w:t xml:space="preserve">Guest-facing wine list (QR → public web view, no login required)</w:t>
      </w:r>
    </w:p>
    <w:p>
      <w:pPr>
        <w:pStyle w:val="ListParagraph"/>
        <w:numPr>
          <w:ilvl w:val="0"/>
          <w:numId w:val="2"/>
        </w:numPr>
        <w:spacing w:after="40" w:before="40"/>
      </w:pPr>
      <w:r>
        <w:rPr>
          <w:rFonts w:ascii="Arial" w:cs="Arial" w:eastAsia="Arial" w:hAnsi="Arial"/>
          <w:sz w:val="22"/>
          <w:szCs w:val="22"/>
        </w:rPr>
        <w:t xml:space="preserve">Professional onboarding and billing (separate Stripe plan)</w:t>
      </w:r>
    </w:p>
    <w:p>
      <w:pPr>
        <w:pStyle w:val="Heading3"/>
        <w:spacing w:after="60" w:before="200"/>
      </w:pPr>
      <w:r>
        <w:rPr>
          <w:rFonts w:ascii="Arial" w:cs="Arial" w:eastAsia="Arial" w:hAnsi="Arial"/>
          <w:b/>
          <w:bCs/>
          <w:color w:val="A3835B"/>
          <w:sz w:val="24"/>
          <w:szCs w:val="24"/>
        </w:rPr>
        <w:t xml:space="preserve">Should ship</w:t>
      </w:r>
    </w:p>
    <w:p>
      <w:pPr>
        <w:pStyle w:val="ListParagraph"/>
        <w:numPr>
          <w:ilvl w:val="0"/>
          <w:numId w:val="2"/>
        </w:numPr>
        <w:spacing w:after="40" w:before="40"/>
      </w:pPr>
      <w:r>
        <w:rPr>
          <w:rFonts w:ascii="Arial" w:cs="Arial" w:eastAsia="Arial" w:hAnsi="Arial"/>
          <w:sz w:val="22"/>
          <w:szCs w:val="22"/>
        </w:rPr>
        <w:t xml:space="preserve">Tableside mode: full-screen wine card for iPad/tablet presentation</w:t>
      </w:r>
    </w:p>
    <w:p>
      <w:pPr>
        <w:pStyle w:val="ListParagraph"/>
        <w:numPr>
          <w:ilvl w:val="0"/>
          <w:numId w:val="2"/>
        </w:numPr>
        <w:spacing w:after="40" w:before="40"/>
      </w:pPr>
      <w:r>
        <w:rPr>
          <w:rFonts w:ascii="Arial" w:cs="Arial" w:eastAsia="Arial" w:hAnsi="Arial"/>
          <w:sz w:val="22"/>
          <w:szCs w:val="22"/>
        </w:rPr>
        <w:t xml:space="preserve">Multi-user access (invite team member by email)</w:t>
      </w:r>
    </w:p>
    <w:p>
      <w:pPr>
        <w:pStyle w:val="ListParagraph"/>
        <w:numPr>
          <w:ilvl w:val="0"/>
          <w:numId w:val="2"/>
        </w:numPr>
        <w:spacing w:after="40" w:before="40"/>
      </w:pPr>
      <w:r>
        <w:rPr>
          <w:rFonts w:ascii="Arial" w:cs="Arial" w:eastAsia="Arial" w:hAnsi="Arial"/>
          <w:sz w:val="22"/>
          <w:szCs w:val="22"/>
        </w:rPr>
        <w:t xml:space="preserve">Professional statistics: turnover rate, margin calculator, pour cost</w:t>
      </w:r>
    </w:p>
    <w:p>
      <w:pPr>
        <w:pStyle w:val="ListParagraph"/>
        <w:numPr>
          <w:ilvl w:val="0"/>
          <w:numId w:val="2"/>
        </w:numPr>
        <w:spacing w:after="40" w:before="40"/>
      </w:pPr>
      <w:r>
        <w:rPr>
          <w:rFonts w:ascii="Arial" w:cs="Arial" w:eastAsia="Arial" w:hAnsi="Arial"/>
          <w:sz w:val="22"/>
          <w:szCs w:val="22"/>
        </w:rPr>
        <w:t xml:space="preserve">Food pairing suggestions on guest wine list</w:t>
      </w:r>
    </w:p>
    <w:p>
      <w:pPr>
        <w:pStyle w:val="Heading2"/>
        <w:spacing w:after="80" w:before="280"/>
      </w:pPr>
      <w:r>
        <w:rPr>
          <w:rFonts w:ascii="Arial" w:cs="Arial" w:eastAsia="Arial" w:hAnsi="Arial"/>
          <w:b/>
          <w:bCs/>
          <w:color w:val="3B1422"/>
          <w:sz w:val="28"/>
          <w:szCs w:val="28"/>
        </w:rPr>
        <w:t xml:space="preserve">4.4 Phase V3 — Growth &amp; Partnerships (Months 6–12)</w:t>
      </w:r>
    </w:p>
    <w:p>
      <w:pPr>
        <w:pStyle w:val="Heading3"/>
        <w:spacing w:after="60" w:before="200"/>
      </w:pPr>
      <w:r>
        <w:rPr>
          <w:rFonts w:ascii="Arial" w:cs="Arial" w:eastAsia="Arial" w:hAnsi="Arial"/>
          <w:b/>
          <w:bCs/>
          <w:color w:val="A3835B"/>
          <w:sz w:val="24"/>
          <w:szCs w:val="24"/>
        </w:rPr>
        <w:t xml:space="preserve">Consumer growth</w:t>
      </w:r>
    </w:p>
    <w:p>
      <w:pPr>
        <w:pStyle w:val="ListParagraph"/>
        <w:numPr>
          <w:ilvl w:val="0"/>
          <w:numId w:val="2"/>
        </w:numPr>
        <w:spacing w:after="40" w:before="40"/>
      </w:pPr>
      <w:r>
        <w:rPr>
          <w:rFonts w:ascii="Arial" w:cs="Arial" w:eastAsia="Arial" w:hAnsi="Arial"/>
          <w:sz w:val="22"/>
          <w:szCs w:val="22"/>
        </w:rPr>
        <w:t xml:space="preserve">Social features: follow another collector, public tasting notes</w:t>
      </w:r>
    </w:p>
    <w:p>
      <w:pPr>
        <w:pStyle w:val="ListParagraph"/>
        <w:numPr>
          <w:ilvl w:val="0"/>
          <w:numId w:val="2"/>
        </w:numPr>
        <w:spacing w:after="40" w:before="40"/>
      </w:pPr>
      <w:r>
        <w:rPr>
          <w:rFonts w:ascii="Arial" w:cs="Arial" w:eastAsia="Arial" w:hAnsi="Arial"/>
          <w:sz w:val="22"/>
          <w:szCs w:val="22"/>
        </w:rPr>
        <w:t xml:space="preserve">Wine recommendations engine (based on cellar history + ratings)</w:t>
      </w:r>
    </w:p>
    <w:p>
      <w:pPr>
        <w:pStyle w:val="ListParagraph"/>
        <w:numPr>
          <w:ilvl w:val="0"/>
          <w:numId w:val="2"/>
        </w:numPr>
        <w:spacing w:after="40" w:before="40"/>
      </w:pPr>
      <w:r>
        <w:rPr>
          <w:rFonts w:ascii="Arial" w:cs="Arial" w:eastAsia="Arial" w:hAnsi="Arial"/>
          <w:sz w:val="22"/>
          <w:szCs w:val="22"/>
        </w:rPr>
        <w:t xml:space="preserve">Augmented reality label scanner (camera-based visual search)</w:t>
      </w:r>
    </w:p>
    <w:p>
      <w:pPr>
        <w:pStyle w:val="Heading3"/>
        <w:spacing w:after="60" w:before="200"/>
      </w:pPr>
      <w:r>
        <w:rPr>
          <w:rFonts w:ascii="Arial" w:cs="Arial" w:eastAsia="Arial" w:hAnsi="Arial"/>
          <w:b/>
          <w:bCs/>
          <w:color w:val="A3835B"/>
          <w:sz w:val="24"/>
          <w:szCs w:val="24"/>
        </w:rPr>
        <w:t xml:space="preserve">OrigoVero partnership</w:t>
      </w:r>
    </w:p>
    <w:p>
      <w:pPr>
        <w:pStyle w:val="ListParagraph"/>
        <w:numPr>
          <w:ilvl w:val="0"/>
          <w:numId w:val="2"/>
        </w:numPr>
        <w:spacing w:after="40" w:before="40"/>
      </w:pPr>
      <w:r>
        <w:rPr>
          <w:rFonts w:ascii="Arial" w:cs="Arial" w:eastAsia="Arial" w:hAnsi="Arial"/>
          <w:sz w:val="22"/>
          <w:szCs w:val="22"/>
        </w:rPr>
        <w:t xml:space="preserve">Co-marketing: “Powered by OrigoVero DPP” badge on DPP wines in consumer app</w:t>
      </w:r>
    </w:p>
    <w:p>
      <w:pPr>
        <w:pStyle w:val="ListParagraph"/>
        <w:numPr>
          <w:ilvl w:val="0"/>
          <w:numId w:val="2"/>
        </w:numPr>
        <w:spacing w:after="40" w:before="40"/>
      </w:pPr>
      <w:r>
        <w:rPr>
          <w:rFonts w:ascii="Arial" w:cs="Arial" w:eastAsia="Arial" w:hAnsi="Arial"/>
          <w:sz w:val="22"/>
          <w:szCs w:val="22"/>
        </w:rPr>
        <w:t xml:space="preserve">OrigoVero producer landing pages inside Vinage (producer story, vineyard info)</w:t>
      </w:r>
    </w:p>
    <w:p>
      <w:pPr>
        <w:pStyle w:val="ListParagraph"/>
        <w:numPr>
          <w:ilvl w:val="0"/>
          <w:numId w:val="2"/>
        </w:numPr>
        <w:spacing w:after="40" w:before="40"/>
      </w:pPr>
      <w:r>
        <w:rPr>
          <w:rFonts w:ascii="Arial" w:cs="Arial" w:eastAsia="Arial" w:hAnsi="Arial"/>
          <w:sz w:val="22"/>
          <w:szCs w:val="22"/>
        </w:rPr>
        <w:t xml:space="preserve">B2C DPP consumer journey: scan → passport → direct producer link → purchase</w:t>
      </w:r>
    </w:p>
    <w:p>
      <w:pPr>
        <w:pStyle w:val="ListParagraph"/>
        <w:numPr>
          <w:ilvl w:val="0"/>
          <w:numId w:val="2"/>
        </w:numPr>
        <w:spacing w:after="40" w:before="40"/>
      </w:pPr>
      <w:r>
        <w:rPr>
          <w:rFonts w:ascii="Arial" w:cs="Arial" w:eastAsia="Arial" w:hAnsi="Arial"/>
          <w:sz w:val="22"/>
          <w:szCs w:val="22"/>
        </w:rPr>
        <w:t xml:space="preserve">Track DPP scan conversion for OrigoVero producer analytics (aggregate, no PII)</w:t>
      </w:r>
    </w:p>
    <w:p>
      <w:pPr>
        <w:pStyle w:val="Heading3"/>
        <w:spacing w:after="60" w:before="200"/>
      </w:pPr>
      <w:r>
        <w:rPr>
          <w:rFonts w:ascii="Arial" w:cs="Arial" w:eastAsia="Arial" w:hAnsi="Arial"/>
          <w:b/>
          <w:bCs/>
          <w:color w:val="A3835B"/>
          <w:sz w:val="24"/>
          <w:szCs w:val="24"/>
        </w:rPr>
        <w:t xml:space="preserve">Merchant partnerships</w:t>
      </w:r>
    </w:p>
    <w:p>
      <w:pPr>
        <w:pStyle w:val="ListParagraph"/>
        <w:numPr>
          <w:ilvl w:val="0"/>
          <w:numId w:val="2"/>
        </w:numPr>
        <w:spacing w:after="40" w:before="40"/>
      </w:pPr>
      <w:r>
        <w:rPr>
          <w:rFonts w:ascii="Arial" w:cs="Arial" w:eastAsia="Arial" w:hAnsi="Arial"/>
          <w:sz w:val="22"/>
          <w:szCs w:val="22"/>
        </w:rPr>
        <w:t xml:space="preserve">Merchant profile pages: wines tagged with source merchant</w:t>
      </w:r>
    </w:p>
    <w:p>
      <w:pPr>
        <w:pStyle w:val="ListParagraph"/>
        <w:numPr>
          <w:ilvl w:val="0"/>
          <w:numId w:val="2"/>
        </w:numPr>
        <w:spacing w:after="40" w:before="40"/>
      </w:pPr>
      <w:r>
        <w:rPr>
          <w:rFonts w:ascii="Arial" w:cs="Arial" w:eastAsia="Arial" w:hAnsi="Arial"/>
          <w:sz w:val="22"/>
          <w:szCs w:val="22"/>
        </w:rPr>
        <w:t xml:space="preserve">Restock notifications to cellar owners</w:t>
      </w:r>
    </w:p>
    <w:p>
      <w:pPr>
        <w:pStyle w:val="ListParagraph"/>
        <w:numPr>
          <w:ilvl w:val="0"/>
          <w:numId w:val="2"/>
        </w:numPr>
        <w:spacing w:after="40" w:before="40"/>
      </w:pPr>
      <w:r>
        <w:rPr>
          <w:rFonts w:ascii="Arial" w:cs="Arial" w:eastAsia="Arial" w:hAnsi="Arial"/>
          <w:sz w:val="22"/>
          <w:szCs w:val="22"/>
        </w:rPr>
        <w:t xml:space="preserve">Merchant catalogue API integration</w:t>
      </w:r>
    </w:p>
    <w:p>
      <w:r>
        <w:br w:type="page"/>
      </w:r>
    </w:p>
    <w:p>
      <w:pPr>
        <w:pStyle w:val="Heading1"/>
        <w:pBdr>
          <w:bottom w:val="single" w:color="3B1422" w:sz="8" w:space="4"/>
        </w:pBdr>
        <w:spacing w:after="120" w:before="360"/>
      </w:pPr>
      <w:r>
        <w:rPr>
          <w:rFonts w:ascii="Arial" w:cs="Arial" w:eastAsia="Arial" w:hAnsi="Arial"/>
          <w:b/>
          <w:bCs/>
          <w:color w:val="3B1422"/>
          <w:sz w:val="36"/>
          <w:szCs w:val="36"/>
        </w:rPr>
        <w:t xml:space="preserve">5. OrigoVero Partnership Strategy</w:t>
      </w:r>
    </w:p>
    <w:p>
      <w:pPr>
        <w:spacing w:after="120" w:before="80"/>
      </w:pPr>
      <w:r>
        <w:rPr>
          <w:rFonts w:ascii="Arial" w:cs="Arial" w:eastAsia="Arial" w:hAnsi="Arial"/>
          <w:sz w:val="22"/>
          <w:szCs w:val="22"/>
        </w:rPr>
        <w:t xml:space="preserve">OrigoVero is an early-stage Digital Product Passport platform targeting wine and spirits. Vinage has already implemented DPP integration using the OrigoVero DEV API, making it one of the first consumer-facing apps to surface DPP data in a useful way.</w:t>
      </w:r>
    </w:p>
    <w:p>
      <w:pPr>
        <w:pStyle w:val="Heading2"/>
        <w:spacing w:after="80" w:before="280"/>
      </w:pPr>
      <w:r>
        <w:rPr>
          <w:rFonts w:ascii="Arial" w:cs="Arial" w:eastAsia="Arial" w:hAnsi="Arial"/>
          <w:b/>
          <w:bCs/>
          <w:color w:val="3B1422"/>
          <w:sz w:val="28"/>
          <w:szCs w:val="28"/>
        </w:rPr>
        <w:t xml:space="preserve">5.1 Current Status</w:t>
      </w:r>
    </w:p>
    <w:p>
      <w:pPr>
        <w:pStyle w:val="ListParagraph"/>
        <w:numPr>
          <w:ilvl w:val="0"/>
          <w:numId w:val="2"/>
        </w:numPr>
        <w:spacing w:after="40" w:before="40"/>
      </w:pPr>
      <w:r>
        <w:rPr>
          <w:rFonts w:ascii="Arial" w:cs="Arial" w:eastAsia="Arial" w:hAnsi="Arial"/>
          <w:sz w:val="22"/>
          <w:szCs w:val="22"/>
        </w:rPr>
        <w:t xml:space="preserve">DEV API integrated with HMAC-SHA256 signing via WebCrypto (no server proxy)</w:t>
      </w:r>
    </w:p>
    <w:p>
      <w:pPr>
        <w:pStyle w:val="ListParagraph"/>
        <w:numPr>
          <w:ilvl w:val="0"/>
          <w:numId w:val="2"/>
        </w:numPr>
        <w:spacing w:after="40" w:before="40"/>
      </w:pPr>
      <w:r>
        <w:rPr>
          <w:rFonts w:ascii="Arial" w:cs="Arial" w:eastAsia="Arial" w:hAnsi="Arial"/>
          <w:sz w:val="22"/>
          <w:szCs w:val="22"/>
        </w:rPr>
        <w:t xml:space="preserve">10 demo wines available in the DEV environment</w:t>
      </w:r>
    </w:p>
    <w:p>
      <w:pPr>
        <w:pStyle w:val="ListParagraph"/>
        <w:numPr>
          <w:ilvl w:val="0"/>
          <w:numId w:val="2"/>
        </w:numPr>
        <w:spacing w:after="40" w:before="40"/>
      </w:pPr>
      <w:r>
        <w:rPr>
          <w:rFonts w:ascii="Arial" w:cs="Arial" w:eastAsia="Arial" w:hAnsi="Arial"/>
          <w:sz w:val="22"/>
          <w:szCs w:val="22"/>
        </w:rPr>
        <w:t xml:space="preserve">No live production wines yet — OrigoVero is actively signing wine companies</w:t>
      </w:r>
    </w:p>
    <w:p>
      <w:pPr>
        <w:pStyle w:val="ListParagraph"/>
        <w:numPr>
          <w:ilvl w:val="0"/>
          <w:numId w:val="2"/>
        </w:numPr>
        <w:spacing w:after="40" w:before="40"/>
      </w:pPr>
      <w:r>
        <w:rPr>
          <w:rFonts w:ascii="Arial" w:cs="Arial" w:eastAsia="Arial" w:hAnsi="Arial"/>
          <w:sz w:val="22"/>
          <w:szCs w:val="22"/>
        </w:rPr>
        <w:t xml:space="preserve">DPP metadata stored per wine: certifications, material origin, passport ID, image</w:t>
      </w:r>
    </w:p>
    <w:p>
      <w:pPr>
        <w:pStyle w:val="ListParagraph"/>
        <w:numPr>
          <w:ilvl w:val="0"/>
          <w:numId w:val="2"/>
        </w:numPr>
        <w:spacing w:after="40" w:before="40"/>
      </w:pPr>
      <w:r>
        <w:rPr>
          <w:rFonts w:ascii="Arial" w:cs="Arial" w:eastAsia="Arial" w:hAnsi="Arial"/>
          <w:sz w:val="22"/>
          <w:szCs w:val="22"/>
        </w:rPr>
        <w:t xml:space="preserve">Consumer UX: “View Digital Passport” button on wine detail screen</w:t>
      </w:r>
    </w:p>
    <w:p>
      <w:pPr>
        <w:pStyle w:val="Heading2"/>
        <w:spacing w:after="80" w:before="280"/>
      </w:pPr>
      <w:r>
        <w:rPr>
          <w:rFonts w:ascii="Arial" w:cs="Arial" w:eastAsia="Arial" w:hAnsi="Arial"/>
          <w:b/>
          <w:bCs/>
          <w:color w:val="3B1422"/>
          <w:sz w:val="28"/>
          <w:szCs w:val="28"/>
        </w:rPr>
        <w:t xml:space="preserve">5.2 Strategic Risks</w:t>
      </w:r>
    </w:p>
    <w:p>
      <w:pPr>
        <w:pStyle w:val="ListParagraph"/>
        <w:numPr>
          <w:ilvl w:val="0"/>
          <w:numId w:val="2"/>
        </w:numPr>
        <w:spacing w:after="40" w:before="40"/>
      </w:pPr>
      <w:r>
        <w:rPr>
          <w:rFonts w:ascii="Arial" w:cs="Arial" w:eastAsia="Arial" w:hAnsi="Arial"/>
          <w:sz w:val="22"/>
          <w:szCs w:val="22"/>
        </w:rPr>
        <w:t xml:space="preserve">Catalogue dependency: value of DPP feature is proportional to wines covered; currently near zero in production</w:t>
      </w:r>
    </w:p>
    <w:p>
      <w:pPr>
        <w:pStyle w:val="ListParagraph"/>
        <w:numPr>
          <w:ilvl w:val="0"/>
          <w:numId w:val="2"/>
        </w:numPr>
        <w:spacing w:after="40" w:before="40"/>
      </w:pPr>
      <w:r>
        <w:rPr>
          <w:rFonts w:ascii="Arial" w:cs="Arial" w:eastAsia="Arial" w:hAnsi="Arial"/>
          <w:sz w:val="22"/>
          <w:szCs w:val="22"/>
        </w:rPr>
        <w:t xml:space="preserve">Timeline uncertainty: signing wine companies takes time; Vinage should not be gated on OrigoVero traction</w:t>
      </w:r>
    </w:p>
    <w:p>
      <w:pPr>
        <w:pStyle w:val="ListParagraph"/>
        <w:numPr>
          <w:ilvl w:val="0"/>
          <w:numId w:val="2"/>
        </w:numPr>
        <w:spacing w:after="40" w:before="40"/>
      </w:pPr>
      <w:r>
        <w:rPr>
          <w:rFonts w:ascii="Arial" w:cs="Arial" w:eastAsia="Arial" w:hAnsi="Arial"/>
          <w:sz w:val="22"/>
          <w:szCs w:val="22"/>
        </w:rPr>
        <w:t xml:space="preserve">Two QR codes on bottles: the eWine QR (minimal data) and the full OrigoVero DPP QR — Vinage handles both, but user communication needs to be clear</w:t>
      </w:r>
    </w:p>
    <w:p>
      <w:pPr>
        <w:pStyle w:val="Heading2"/>
        <w:spacing w:after="80" w:before="280"/>
      </w:pPr>
      <w:r>
        <w:rPr>
          <w:rFonts w:ascii="Arial" w:cs="Arial" w:eastAsia="Arial" w:hAnsi="Arial"/>
          <w:b/>
          <w:bCs/>
          <w:color w:val="3B1422"/>
          <w:sz w:val="28"/>
          <w:szCs w:val="28"/>
        </w:rPr>
        <w:t xml:space="preserve">5.3 Recommended Positioning</w:t>
      </w:r>
    </w:p>
    <w:p>
      <w:pPr>
        <w:spacing w:after="120" w:before="80"/>
      </w:pPr>
      <w:r>
        <w:rPr>
          <w:rFonts w:ascii="Arial" w:cs="Arial" w:eastAsia="Arial" w:hAnsi="Arial"/>
          <w:sz w:val="22"/>
          <w:szCs w:val="22"/>
        </w:rPr>
        <w:t xml:space="preserve">Position DPP as a “when we find it, it's a bonus” feature rather than a core promise to consumers. Internally, use the integration as a B2B hook:</w:t>
      </w:r>
    </w:p>
    <w:p>
      <w:pPr>
        <w:pStyle w:val="ListParagraph"/>
        <w:numPr>
          <w:ilvl w:val="0"/>
          <w:numId w:val="2"/>
        </w:numPr>
        <w:spacing w:after="40" w:before="40"/>
      </w:pPr>
      <w:r>
        <w:rPr>
          <w:rFonts w:ascii="Arial" w:cs="Arial" w:eastAsia="Arial" w:hAnsi="Arial"/>
          <w:sz w:val="22"/>
          <w:szCs w:val="22"/>
        </w:rPr>
        <w:t xml:space="preserve">Offer OrigoVero producers a free Vinage Collector subscription as part of their DPP package (joint offer with Ed)</w:t>
      </w:r>
    </w:p>
    <w:p>
      <w:pPr>
        <w:pStyle w:val="ListParagraph"/>
        <w:numPr>
          <w:ilvl w:val="0"/>
          <w:numId w:val="2"/>
        </w:numPr>
        <w:spacing w:after="40" w:before="40"/>
      </w:pPr>
      <w:r>
        <w:rPr>
          <w:rFonts w:ascii="Arial" w:cs="Arial" w:eastAsia="Arial" w:hAnsi="Arial"/>
          <w:sz w:val="22"/>
          <w:szCs w:val="22"/>
        </w:rPr>
        <w:t xml:space="preserve">Propose a “Featured on Vinage” tier for OrigoVero customers once catalogue is live</w:t>
      </w:r>
    </w:p>
    <w:p>
      <w:pPr>
        <w:pStyle w:val="ListParagraph"/>
        <w:numPr>
          <w:ilvl w:val="0"/>
          <w:numId w:val="2"/>
        </w:numPr>
        <w:spacing w:after="40" w:before="40"/>
      </w:pPr>
      <w:r>
        <w:rPr>
          <w:rFonts w:ascii="Arial" w:cs="Arial" w:eastAsia="Arial" w:hAnsi="Arial"/>
          <w:sz w:val="22"/>
          <w:szCs w:val="22"/>
        </w:rPr>
        <w:t xml:space="preserve">Share aggregate DPP scan data (how many consumers viewed a passport) as a value-add metric for producers</w:t>
      </w:r>
    </w:p>
    <w:p>
      <w:pPr>
        <w:spacing w:after="120" w:before="80"/>
      </w:pPr>
      <w:r>
        <w:rPr>
          <w:rFonts w:ascii="Arial" w:cs="Arial" w:eastAsia="Arial" w:hAnsi="Arial"/>
          <w:sz w:val="22"/>
          <w:szCs w:val="22"/>
        </w:rPr>
        <w:t xml:space="preserve">The OrigoVero partnership is a medium-term growth lever, not a V0/V1 dependency. Build the relationship now; activate it when the catalogue justifies it.</w:t>
      </w:r>
    </w:p>
    <w:p>
      <w:r>
        <w:br w:type="page"/>
      </w:r>
    </w:p>
    <w:p>
      <w:pPr>
        <w:pStyle w:val="Heading1"/>
        <w:pBdr>
          <w:bottom w:val="single" w:color="3B1422" w:sz="8" w:space="4"/>
        </w:pBdr>
        <w:spacing w:after="120" w:before="360"/>
      </w:pPr>
      <w:r>
        <w:rPr>
          <w:rFonts w:ascii="Arial" w:cs="Arial" w:eastAsia="Arial" w:hAnsi="Arial"/>
          <w:b/>
          <w:bCs/>
          <w:color w:val="3B1422"/>
          <w:sz w:val="36"/>
          <w:szCs w:val="36"/>
        </w:rPr>
        <w:t xml:space="preserve">6. Open Questions &amp; Decisions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tblHeader/>
        </w:trPr>
        <w:tc>
          <w:tcPr>
            <w:tcW w:type="dxa" w:w="40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36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20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Owner</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What legal entity will contract with B2B customers?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Personal / existing BV / new entity</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Arnold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Which payment provider for subscriptions?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Stripe (web), RevenueCat (iOS+Android), or both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Arnold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 the OrigoVero DEV key suitable for limited beta, or do we need a production key?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Ask Ed; clarify when prod API goes live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Arnold + Ed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Will OrigoVero serial numbers be stored per-user? (GDPR implication)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needs explicit disclosure; No = simpler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Arnold + Ed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Target geography for V1 launch?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NL-first, then EU, then global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Arnold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 Store listing: PWA only, or native wrapper (Capacitor/Expo)?</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PWA is simplest; App Store needs wrapper for in-app purchase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Arnold</w:t>
            </w:r>
          </w:p>
        </w:tc>
      </w:tr>
      <w:tr>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Professional mode pricing: monthly or annual contracts?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Monthly to reduce friction; annual for cash flow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Arnold</w:t>
            </w:r>
          </w:p>
        </w:tc>
      </w:tr>
    </w:tbl>
    <w:p>
      <w:pPr>
        <w:spacing w:after="80" w:before="0"/>
      </w:pPr>
      <w:r>
        <w:t xml:space="preserve"/>
      </w:r>
    </w:p>
    <w:p>
      <w:r>
        <w:br w:type="page"/>
      </w:r>
    </w:p>
    <w:p>
      <w:pPr>
        <w:pStyle w:val="Heading1"/>
        <w:pBdr>
          <w:bottom w:val="single" w:color="3B1422" w:sz="8" w:space="4"/>
        </w:pBdr>
        <w:spacing w:after="120" w:before="360"/>
      </w:pPr>
      <w:r>
        <w:rPr>
          <w:rFonts w:ascii="Arial" w:cs="Arial" w:eastAsia="Arial" w:hAnsi="Arial"/>
          <w:b/>
          <w:bCs/>
          <w:color w:val="3B1422"/>
          <w:sz w:val="36"/>
          <w:szCs w:val="36"/>
        </w:rPr>
        <w:t xml:space="preserve">7. Immediate Next Steps (V0)</w:t>
      </w:r>
    </w:p>
    <w:p>
      <w:pPr>
        <w:spacing w:after="120" w:before="80"/>
      </w:pPr>
      <w:r>
        <w:rPr>
          <w:rFonts w:ascii="Arial" w:cs="Arial" w:eastAsia="Arial" w:hAnsi="Arial"/>
          <w:sz w:val="22"/>
          <w:szCs w:val="22"/>
        </w:rPr>
        <w:t xml:space="preserve">Before any public marketing, investor conversations, or B2B outreach, the following must be complete: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1500"/>
        <w:gridCol w:w="1500"/>
      </w:tblGrid>
      <w:tr>
        <w:trPr>
          <w:tblHeader/>
        </w:trPr>
        <w:tc>
          <w:tcPr>
            <w:tcW w:type="dxa" w:w="6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500"/>
            <w:tcBorders>
              <w:top w:val="single" w:color="3B1422" w:sz="1"/>
              <w:left w:val="single" w:color="3B1422" w:sz="1"/>
              <w:bottom w:val="single" w:color="3B1422" w:sz="1"/>
              <w:right w:val="single" w:color="3B1422" w:sz="1"/>
            </w:tcBorders>
            <w:shd w:fill="3B142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1</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and publish /privacy (privacy policy)</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hrs</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 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2</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Write and publish /terms (terms of service)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hr</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 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3</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Firebase DPA in console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min</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 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4</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Implement account deletion flow (Settings)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day</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 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5</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 OpenAI/Anthropic API training opt-out is active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 min</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 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6</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safe-area / overflow QA across all screens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hrs</w:t>
            </w:r>
          </w:p>
        </w:tc>
        <w:tc>
          <w:tcPr>
            <w:tcW w:type="dxa" w:w="1440"/>
            <w:tcBorders>
              <w:top w:val="single" w:color="DDDDDD" w:sz="1"/>
              <w:left w:val="single" w:color="DDDDDD" w:sz="1"/>
              <w:bottom w:val="single" w:color="DDDDDD" w:sz="1"/>
              <w:right w:val="single" w:color="DDDDDD" w:sz="1"/>
            </w:tcBorders>
            <w:shd w:fill="E651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 progress</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7</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OrigoVero integration on physical device with demo wines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hr</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 do</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sz w:val="20"/>
                <w:szCs w:val="20"/>
              </w:rPr>
              <w:t xml:space="preserve">8</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up Stripe account and test subscription flow (staging)</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day</w:t>
            </w:r>
          </w:p>
        </w:tc>
        <w:tc>
          <w:tcPr>
            <w:tcW w:type="dxa" w:w="1440"/>
            <w:tcBorders>
              <w:top w:val="single" w:color="DDDDDD" w:sz="1"/>
              <w:left w:val="single" w:color="DDDDDD" w:sz="1"/>
              <w:bottom w:val="single" w:color="DDDDDD" w:sz="1"/>
              <w:right w:val="single" w:color="DDDDDD" w:sz="1"/>
            </w:tcBorders>
            <w:shd w:fill="3B142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 do</w:t>
            </w:r>
          </w:p>
        </w:tc>
      </w:tr>
    </w:tbl>
    <w:p>
      <w:pPr>
        <w:spacing w:after="80" w:before="0"/>
      </w:pPr>
      <w:r>
        <w:t xml:space="preserve"/>
      </w:r>
    </w:p>
    <w:p>
      <w:pPr>
        <w:spacing w:after="120" w:before="80"/>
      </w:pPr>
      <w:r>
        <w:rPr>
          <w:rFonts w:ascii="Arial" w:cs="Arial" w:eastAsia="Arial" w:hAnsi="Arial"/>
          <w:color w:val="666666"/>
          <w:sz w:val="18"/>
          <w:szCs w:val="18"/>
        </w:rPr>
        <w:t xml:space="preserve">Document version: </w:t>
      </w:r>
      <w:r>
        <w:rPr>
          <w:rFonts w:ascii="Arial" w:cs="Arial" w:eastAsia="Arial" w:hAnsi="Arial"/>
          <w:b/>
          <w:bCs/>
          <w:color w:val="666666"/>
          <w:sz w:val="18"/>
          <w:szCs w:val="18"/>
        </w:rPr>
        <w:t xml:space="preserve">1.0 — May 2026</w:t>
      </w:r>
      <w:r>
        <w:rPr>
          <w:rFonts w:ascii="Arial" w:cs="Arial" w:eastAsia="Arial" w:hAnsi="Arial"/>
          <w:color w:val="666666"/>
          <w:sz w:val="18"/>
          <w:szCs w:val="18"/>
        </w:rPr>
        <w:t xml:space="preserve">  •  Prepared with Claude (Anthropic)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3835B"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3835B" w:sz="4" w:space="4"/>
      </w:pBdr>
      <w:tabs>
        <w:tab w:val="right" w:pos="9026"/>
      </w:tabs>
    </w:pPr>
    <w:r>
      <w:rPr>
        <w:rFonts w:ascii="Arial" w:cs="Arial" w:eastAsia="Arial" w:hAnsi="Arial"/>
        <w:b/>
        <w:bCs/>
        <w:color w:val="3B1422"/>
        <w:sz w:val="22"/>
        <w:szCs w:val="22"/>
      </w:rPr>
      <w:t xml:space="preserve">Vinage</w:t>
    </w:r>
    <w:r>
      <w:rPr>
        <w:rFonts w:ascii="Arial" w:cs="Arial" w:eastAsia="Arial" w:hAnsi="Arial"/>
        <w:color w:val="666666"/>
        <w:sz w:val="18"/>
        <w:szCs w:val="18"/>
      </w:rPr>
      <w:t xml:space="preserve">		Commercialisation Roadmap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3B1422"/>
      <w:sz w:val="36"/>
      <w:szCs w:val="36"/>
    </w:rPr>
  </w:style>
  <w:style w:type="paragraph" w:styleId="Heading2">
    <w:name w:val="Heading 2"/>
    <w:basedOn w:val="Normal"/>
    <w:next w:val="Normal"/>
    <w:qFormat/>
    <w:pPr>
      <w:spacing w:after="80" w:before="280"/>
      <w:outlineLvl w:val="1"/>
    </w:pPr>
    <w:rPr>
      <w:rFonts w:ascii="Arial" w:cs="Arial" w:eastAsia="Arial" w:hAnsi="Arial"/>
      <w:b/>
      <w:bCs/>
      <w:color w:val="3B1422"/>
      <w:sz w:val="28"/>
      <w:szCs w:val="28"/>
    </w:rPr>
  </w:style>
  <w:style w:type="paragraph" w:styleId="Heading3">
    <w:name w:val="Heading 3"/>
    <w:basedOn w:val="Normal"/>
    <w:next w:val="Normal"/>
    <w:qFormat/>
    <w:pPr>
      <w:spacing w:after="60" w:before="200"/>
      <w:outlineLvl w:val="2"/>
    </w:pPr>
    <w:rPr>
      <w:rFonts w:ascii="Arial" w:cs="Arial" w:eastAsia="Arial" w:hAnsi="Arial"/>
      <w:b/>
      <w:bCs/>
      <w:color w:val="A383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2026-05-07T22:06:21.742Z</dcterms:created>
  <dcterms:modified xsi:type="dcterms:W3CDTF">2026-05-07T22:06:21.743Z</dcterms:modified>
</cp:coreProperties>
</file>

<file path=docProps/custom.xml><?xml version="1.0" encoding="utf-8"?>
<Properties xmlns="http://schemas.openxmlformats.org/officeDocument/2006/custom-properties" xmlns:vt="http://schemas.openxmlformats.org/officeDocument/2006/docPropsVTypes"/>
</file>