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E79"/>
        </w:rPr>
        <w:t>Input File B — Release Log</w:t>
      </w:r>
    </w:p>
    <w:p>
      <w:r>
        <w:rPr>
          <w:i/>
          <w:color w:val="595959"/>
        </w:rPr>
        <w:t>Meridian Analytics | Data Products Team | Week of Oct 14, 2024</w:t>
      </w:r>
    </w:p>
    <w:p/>
    <w:p>
      <w:pPr>
        <w:ind w:left="432"/>
      </w:pPr>
      <w:r>
        <w:rPr>
          <w:rFonts w:ascii="Calibri" w:hAnsi="Calibri"/>
          <w:b w:val="0"/>
          <w:i/>
          <w:color w:val="595959"/>
          <w:sz w:val="20"/>
        </w:rPr>
        <w:t>📌 This is the official technical release log from the engineering team. Language is written for developers and QA. Do not edit this file. You will use it as input material in your lab tasks.</w:t>
      </w:r>
    </w:p>
    <w:p/>
    <w:p>
      <w:pPr>
        <w:pStyle w:val="Heading2"/>
      </w:pPr>
      <w:r>
        <w:rPr>
          <w:color w:val="1F4E79"/>
        </w:rPr>
        <w:t>v2.4.1 — Patch Release</w:t>
      </w:r>
    </w:p>
    <w:p>
      <w:r>
        <w:rPr>
          <w:i/>
          <w:color w:val="595959"/>
          <w:sz w:val="20"/>
        </w:rPr>
        <w:t>Released: Thursday, Oct 17, 2024  |  Environment: Production</w:t>
      </w:r>
    </w:p>
    <w:tbl>
      <w:tblPr>
        <w:tblStyle w:val="TableGrid"/>
        <w:tblW w:type="auto" w:w="0"/>
        <w:tblLook w:firstColumn="1" w:firstRow="1" w:lastColumn="0" w:lastRow="0" w:noHBand="0" w:noVBand="1" w:val="04A0"/>
      </w:tblPr>
      <w:tblGrid>
        <w:gridCol w:w="576"/>
        <w:gridCol w:w="2016"/>
        <w:gridCol w:w="6336"/>
      </w:tblGrid>
      <w:tr>
        <w:tc>
          <w:tcPr>
            <w:tcW w:type="dxa" w:w="2880"/>
          </w:tcPr>
          <w:p/>
        </w:tc>
        <w:tc>
          <w:tcPr>
            <w:tcW w:type="dxa" w:w="2880"/>
          </w:tcPr>
          <w:p/>
        </w:tc>
        <w:tc>
          <w:tcPr>
            <w:tcW w:type="dxa" w:w="2880"/>
          </w:tcPr>
          <w:p/>
        </w:tc>
      </w:tr>
      <w:tr>
        <w:tc>
          <w:tcPr>
            <w:tcW w:type="dxa" w:w="576"/>
            <w:shd w:val="clear" w:color="auto" w:fill="1F4E79"/>
          </w:tcPr>
          <w:p>
            <w:r/>
            <w:r>
              <w:rPr>
                <w:b/>
                <w:color w:val="FFFFFF"/>
                <w:sz w:val="20"/>
              </w:rPr>
              <w:t>#</w:t>
            </w:r>
          </w:p>
        </w:tc>
        <w:tc>
          <w:tcPr>
            <w:tcW w:type="dxa" w:w="2016"/>
            <w:shd w:val="clear" w:color="auto" w:fill="1F4E79"/>
          </w:tcPr>
          <w:p>
            <w:r/>
            <w:r>
              <w:rPr>
                <w:b/>
                <w:color w:val="FFFFFF"/>
                <w:sz w:val="20"/>
              </w:rPr>
              <w:t>Type</w:t>
            </w:r>
          </w:p>
        </w:tc>
        <w:tc>
          <w:tcPr>
            <w:tcW w:type="dxa" w:w="6336"/>
            <w:shd w:val="clear" w:color="auto" w:fill="1F4E79"/>
          </w:tcPr>
          <w:p>
            <w:r/>
            <w:r>
              <w:rPr>
                <w:b/>
                <w:color w:val="FFFFFF"/>
                <w:sz w:val="20"/>
              </w:rPr>
              <w:t>Description</w:t>
            </w:r>
          </w:p>
        </w:tc>
      </w:tr>
      <w:tr>
        <w:tc>
          <w:tcPr>
            <w:tcW w:type="dxa" w:w="576"/>
          </w:tcPr>
          <w:p>
            <w:r/>
            <w:r>
              <w:rPr>
                <w:b w:val="0"/>
                <w:sz w:val="20"/>
              </w:rPr>
              <w:t>1</w:t>
            </w:r>
          </w:p>
        </w:tc>
        <w:tc>
          <w:tcPr>
            <w:tcW w:type="dxa" w:w="2016"/>
          </w:tcPr>
          <w:p>
            <w:r/>
            <w:r>
              <w:rPr>
                <w:b w:val="0"/>
                <w:sz w:val="20"/>
              </w:rPr>
              <w:t>Bug Fix</w:t>
            </w:r>
          </w:p>
        </w:tc>
        <w:tc>
          <w:tcPr>
            <w:tcW w:type="dxa" w:w="6336"/>
          </w:tcPr>
          <w:p>
            <w:r/>
            <w:r>
              <w:rPr>
                <w:b w:val="0"/>
                <w:sz w:val="20"/>
              </w:rPr>
              <w:t>Resolved null pointer exception in PDF export module triggered when report contained empty date fields.</w:t>
            </w:r>
          </w:p>
        </w:tc>
      </w:tr>
      <w:tr>
        <w:tc>
          <w:tcPr>
            <w:tcW w:type="dxa" w:w="576"/>
          </w:tcPr>
          <w:p>
            <w:r/>
            <w:r>
              <w:rPr>
                <w:b w:val="0"/>
                <w:sz w:val="20"/>
              </w:rPr>
              <w:t>2</w:t>
            </w:r>
          </w:p>
        </w:tc>
        <w:tc>
          <w:tcPr>
            <w:tcW w:type="dxa" w:w="2016"/>
          </w:tcPr>
          <w:p>
            <w:r/>
            <w:r>
              <w:rPr>
                <w:b w:val="0"/>
                <w:sz w:val="20"/>
              </w:rPr>
              <w:t>Bug Fix</w:t>
            </w:r>
          </w:p>
        </w:tc>
        <w:tc>
          <w:tcPr>
            <w:tcW w:type="dxa" w:w="6336"/>
          </w:tcPr>
          <w:p>
            <w:r/>
            <w:r>
              <w:rPr>
                <w:b w:val="0"/>
                <w:sz w:val="20"/>
              </w:rPr>
              <w:t>Fixed cold-start latency on auth-service pod causing p95 login time to spike to 6.1s under low-traffic conditions.</w:t>
            </w:r>
          </w:p>
        </w:tc>
      </w:tr>
      <w:tr>
        <w:tc>
          <w:tcPr>
            <w:tcW w:type="dxa" w:w="576"/>
          </w:tcPr>
          <w:p>
            <w:r/>
            <w:r>
              <w:rPr>
                <w:b w:val="0"/>
                <w:sz w:val="20"/>
              </w:rPr>
              <w:t>3</w:t>
            </w:r>
          </w:p>
        </w:tc>
        <w:tc>
          <w:tcPr>
            <w:tcW w:type="dxa" w:w="2016"/>
          </w:tcPr>
          <w:p>
            <w:r/>
            <w:r>
              <w:rPr>
                <w:b w:val="0"/>
                <w:sz w:val="20"/>
              </w:rPr>
              <w:t>Security</w:t>
            </w:r>
          </w:p>
        </w:tc>
        <w:tc>
          <w:tcPr>
            <w:tcW w:type="dxa" w:w="6336"/>
          </w:tcPr>
          <w:p>
            <w:r/>
            <w:r>
              <w:rPr>
                <w:b w:val="0"/>
                <w:sz w:val="20"/>
              </w:rPr>
              <w:t>Enforced stricter input validation on the /api/v2/export endpoint to prevent malformed payload injection.</w:t>
            </w:r>
          </w:p>
        </w:tc>
      </w:tr>
      <w:tr>
        <w:tc>
          <w:tcPr>
            <w:tcW w:type="dxa" w:w="576"/>
          </w:tcPr>
          <w:p>
            <w:r/>
            <w:r>
              <w:rPr>
                <w:b w:val="0"/>
                <w:sz w:val="20"/>
              </w:rPr>
              <w:t>4</w:t>
            </w:r>
          </w:p>
        </w:tc>
        <w:tc>
          <w:tcPr>
            <w:tcW w:type="dxa" w:w="2016"/>
          </w:tcPr>
          <w:p>
            <w:r/>
            <w:r>
              <w:rPr>
                <w:b w:val="0"/>
                <w:sz w:val="20"/>
              </w:rPr>
              <w:t>Performance</w:t>
            </w:r>
          </w:p>
        </w:tc>
        <w:tc>
          <w:tcPr>
            <w:tcW w:type="dxa" w:w="6336"/>
          </w:tcPr>
          <w:p>
            <w:r/>
            <w:r>
              <w:rPr>
                <w:b w:val="0"/>
                <w:sz w:val="20"/>
              </w:rPr>
              <w:t>Reduced average dashboard load time by 34% via lazy-loading of non-critical widget components.</w:t>
            </w:r>
          </w:p>
        </w:tc>
      </w:tr>
      <w:tr>
        <w:tc>
          <w:tcPr>
            <w:tcW w:type="dxa" w:w="576"/>
          </w:tcPr>
          <w:p>
            <w:r/>
            <w:r>
              <w:rPr>
                <w:b w:val="0"/>
                <w:sz w:val="20"/>
              </w:rPr>
              <w:t>5</w:t>
            </w:r>
          </w:p>
        </w:tc>
        <w:tc>
          <w:tcPr>
            <w:tcW w:type="dxa" w:w="2016"/>
          </w:tcPr>
          <w:p>
            <w:r/>
            <w:r>
              <w:rPr>
                <w:b w:val="0"/>
                <w:sz w:val="20"/>
              </w:rPr>
              <w:t>Deprecation Notice</w:t>
            </w:r>
          </w:p>
        </w:tc>
        <w:tc>
          <w:tcPr>
            <w:tcW w:type="dxa" w:w="6336"/>
          </w:tcPr>
          <w:p>
            <w:r/>
            <w:r>
              <w:rPr>
                <w:b w:val="0"/>
                <w:sz w:val="20"/>
              </w:rPr>
              <w:t>Legacy CSV import endpoint (/api/v1/import/csv) flagged for sunset. End-of-life date: Dec 31, 2024.</w:t>
            </w:r>
          </w:p>
        </w:tc>
      </w:tr>
    </w:tbl>
    <w:p/>
    <w:p>
      <w:pPr>
        <w:pStyle w:val="Heading2"/>
      </w:pPr>
      <w:r>
        <w:rPr>
          <w:color w:val="1F4E79"/>
        </w:rPr>
        <w:t>v2.4.0 — Feature Release</w:t>
      </w:r>
    </w:p>
    <w:p>
      <w:r>
        <w:rPr>
          <w:i/>
          <w:color w:val="595959"/>
          <w:sz w:val="20"/>
        </w:rPr>
        <w:t>Released: Tuesday, Oct 15, 2024  |  Environment: Production</w:t>
      </w:r>
    </w:p>
    <w:tbl>
      <w:tblPr>
        <w:tblStyle w:val="TableGrid"/>
        <w:tblW w:type="auto" w:w="0"/>
        <w:tblLook w:firstColumn="1" w:firstRow="1" w:lastColumn="0" w:lastRow="0" w:noHBand="0" w:noVBand="1" w:val="04A0"/>
      </w:tblPr>
      <w:tblGrid>
        <w:gridCol w:w="576"/>
        <w:gridCol w:w="2016"/>
        <w:gridCol w:w="6336"/>
      </w:tblGrid>
      <w:tr>
        <w:tc>
          <w:tcPr>
            <w:tcW w:type="dxa" w:w="2880"/>
          </w:tcPr>
          <w:p/>
        </w:tc>
        <w:tc>
          <w:tcPr>
            <w:tcW w:type="dxa" w:w="2880"/>
          </w:tcPr>
          <w:p/>
        </w:tc>
        <w:tc>
          <w:tcPr>
            <w:tcW w:type="dxa" w:w="2880"/>
          </w:tcPr>
          <w:p/>
        </w:tc>
      </w:tr>
      <w:tr>
        <w:tc>
          <w:tcPr>
            <w:tcW w:type="dxa" w:w="576"/>
            <w:shd w:val="clear" w:color="auto" w:fill="1F4E79"/>
          </w:tcPr>
          <w:p>
            <w:r/>
            <w:r>
              <w:rPr>
                <w:b/>
                <w:color w:val="FFFFFF"/>
                <w:sz w:val="20"/>
              </w:rPr>
              <w:t>#</w:t>
            </w:r>
          </w:p>
        </w:tc>
        <w:tc>
          <w:tcPr>
            <w:tcW w:type="dxa" w:w="2016"/>
            <w:shd w:val="clear" w:color="auto" w:fill="1F4E79"/>
          </w:tcPr>
          <w:p>
            <w:r/>
            <w:r>
              <w:rPr>
                <w:b/>
                <w:color w:val="FFFFFF"/>
                <w:sz w:val="20"/>
              </w:rPr>
              <w:t>Type</w:t>
            </w:r>
          </w:p>
        </w:tc>
        <w:tc>
          <w:tcPr>
            <w:tcW w:type="dxa" w:w="6336"/>
            <w:shd w:val="clear" w:color="auto" w:fill="1F4E79"/>
          </w:tcPr>
          <w:p>
            <w:r/>
            <w:r>
              <w:rPr>
                <w:b/>
                <w:color w:val="FFFFFF"/>
                <w:sz w:val="20"/>
              </w:rPr>
              <w:t>Description</w:t>
            </w:r>
          </w:p>
        </w:tc>
      </w:tr>
      <w:tr>
        <w:tc>
          <w:tcPr>
            <w:tcW w:type="dxa" w:w="576"/>
          </w:tcPr>
          <w:p>
            <w:r/>
            <w:r>
              <w:rPr>
                <w:b w:val="0"/>
                <w:sz w:val="20"/>
              </w:rPr>
              <w:t>1</w:t>
            </w:r>
          </w:p>
        </w:tc>
        <w:tc>
          <w:tcPr>
            <w:tcW w:type="dxa" w:w="2016"/>
          </w:tcPr>
          <w:p>
            <w:r/>
            <w:r>
              <w:rPr>
                <w:b w:val="0"/>
                <w:sz w:val="20"/>
              </w:rPr>
              <w:t>New Feature</w:t>
            </w:r>
          </w:p>
        </w:tc>
        <w:tc>
          <w:tcPr>
            <w:tcW w:type="dxa" w:w="6336"/>
          </w:tcPr>
          <w:p>
            <w:r/>
            <w:r>
              <w:rPr>
                <w:b w:val="0"/>
                <w:sz w:val="20"/>
              </w:rPr>
              <w:t>Scheduled Reports — Users can now configure automated report delivery via email on daily, weekly, or monthly cadence. Supports PDF and CSV formats. Available to Premium tier and above.</w:t>
            </w:r>
          </w:p>
        </w:tc>
      </w:tr>
      <w:tr>
        <w:tc>
          <w:tcPr>
            <w:tcW w:type="dxa" w:w="576"/>
          </w:tcPr>
          <w:p>
            <w:r/>
            <w:r>
              <w:rPr>
                <w:b w:val="0"/>
                <w:sz w:val="20"/>
              </w:rPr>
              <w:t>2</w:t>
            </w:r>
          </w:p>
        </w:tc>
        <w:tc>
          <w:tcPr>
            <w:tcW w:type="dxa" w:w="2016"/>
          </w:tcPr>
          <w:p>
            <w:r/>
            <w:r>
              <w:rPr>
                <w:b w:val="0"/>
                <w:sz w:val="20"/>
              </w:rPr>
              <w:t>New Feature</w:t>
            </w:r>
          </w:p>
        </w:tc>
        <w:tc>
          <w:tcPr>
            <w:tcW w:type="dxa" w:w="6336"/>
          </w:tcPr>
          <w:p>
            <w:r/>
            <w:r>
              <w:rPr>
                <w:b w:val="0"/>
                <w:sz w:val="20"/>
              </w:rPr>
              <w:t>Role-Based Access Control (RBAC) for Dashboard Sharing — Admins can now assign Viewer, Editor, or Owner roles when sharing dashboards with teammates or external collaborators.</w:t>
            </w:r>
          </w:p>
        </w:tc>
      </w:tr>
      <w:tr>
        <w:tc>
          <w:tcPr>
            <w:tcW w:type="dxa" w:w="576"/>
          </w:tcPr>
          <w:p>
            <w:r/>
            <w:r>
              <w:rPr>
                <w:b w:val="0"/>
                <w:sz w:val="20"/>
              </w:rPr>
              <w:t>3</w:t>
            </w:r>
          </w:p>
        </w:tc>
        <w:tc>
          <w:tcPr>
            <w:tcW w:type="dxa" w:w="2016"/>
          </w:tcPr>
          <w:p>
            <w:r/>
            <w:r>
              <w:rPr>
                <w:b w:val="0"/>
                <w:sz w:val="20"/>
              </w:rPr>
              <w:t>Enhancement</w:t>
            </w:r>
          </w:p>
        </w:tc>
        <w:tc>
          <w:tcPr>
            <w:tcW w:type="dxa" w:w="6336"/>
          </w:tcPr>
          <w:p>
            <w:r/>
            <w:r>
              <w:rPr>
                <w:b w:val="0"/>
                <w:sz w:val="20"/>
              </w:rPr>
              <w:t>Updated data retention enforcement logic to apply a strict 90-day rolling window across all report exports, in line with updated data governance policy (DGP-2024-09).</w:t>
            </w:r>
          </w:p>
        </w:tc>
      </w:tr>
      <w:tr>
        <w:tc>
          <w:tcPr>
            <w:tcW w:type="dxa" w:w="576"/>
          </w:tcPr>
          <w:p>
            <w:r/>
            <w:r>
              <w:rPr>
                <w:b w:val="0"/>
                <w:sz w:val="20"/>
              </w:rPr>
              <w:t>4</w:t>
            </w:r>
          </w:p>
        </w:tc>
        <w:tc>
          <w:tcPr>
            <w:tcW w:type="dxa" w:w="2016"/>
          </w:tcPr>
          <w:p>
            <w:r/>
            <w:r>
              <w:rPr>
                <w:b w:val="0"/>
                <w:sz w:val="20"/>
              </w:rPr>
              <w:t>Enhancement</w:t>
            </w:r>
          </w:p>
        </w:tc>
        <w:tc>
          <w:tcPr>
            <w:tcW w:type="dxa" w:w="6336"/>
          </w:tcPr>
          <w:p>
            <w:r/>
            <w:r>
              <w:rPr>
                <w:b w:val="0"/>
                <w:sz w:val="20"/>
              </w:rPr>
              <w:t>Improved API rate limiting — requests now capped at 1,000 per minute per tenant. Excess requests return HTTP 429 with retry-after headers.</w:t>
            </w:r>
          </w:p>
        </w:tc>
      </w:tr>
      <w:tr>
        <w:tc>
          <w:tcPr>
            <w:tcW w:type="dxa" w:w="576"/>
          </w:tcPr>
          <w:p>
            <w:r/>
            <w:r>
              <w:rPr>
                <w:b w:val="0"/>
                <w:sz w:val="20"/>
              </w:rPr>
              <w:t>5</w:t>
            </w:r>
          </w:p>
        </w:tc>
        <w:tc>
          <w:tcPr>
            <w:tcW w:type="dxa" w:w="2016"/>
          </w:tcPr>
          <w:p>
            <w:r/>
            <w:r>
              <w:rPr>
                <w:b w:val="0"/>
                <w:sz w:val="20"/>
              </w:rPr>
              <w:t>Infrastructure</w:t>
            </w:r>
          </w:p>
        </w:tc>
        <w:tc>
          <w:tcPr>
            <w:tcW w:type="dxa" w:w="6336"/>
          </w:tcPr>
          <w:p>
            <w:r/>
            <w:r>
              <w:rPr>
                <w:b w:val="0"/>
                <w:sz w:val="20"/>
              </w:rPr>
              <w:t>Migrated authentication service from legacy session tokens to short-lived JWT tokens (15-min expiry + refresh). No user-facing changes.</w:t>
            </w:r>
          </w:p>
        </w:tc>
      </w:tr>
    </w:tbl>
    <w:p/>
    <w:p>
      <w:pPr>
        <w:pStyle w:val="Heading2"/>
      </w:pPr>
      <w:r>
        <w:rPr>
          <w:color w:val="1F4E79"/>
        </w:rPr>
        <w:t>Known Issues (Open)</w:t>
      </w:r>
    </w:p>
    <w:p>
      <w:pPr>
        <w:pStyle w:val="ListBullet"/>
      </w:pPr>
      <w:r>
        <w:rPr>
          <w:sz w:val="22"/>
        </w:rPr>
        <w:t>Safari rendering bug on custom drill-down widgets in the Finance BI dashboard (affects Safari 17+). Workaround: use Chrome or Firefox. Fix targeted for v2.4.2.</w:t>
      </w:r>
    </w:p>
    <w:p>
      <w:pPr>
        <w:pStyle w:val="ListBullet"/>
      </w:pPr>
      <w:r>
        <w:rPr>
          <w:sz w:val="22"/>
        </w:rPr>
        <w:t>EMEA pipeline delay on Oct 14 (resolved same morning, no data loss).</w:t>
      </w:r>
    </w:p>
    <w:p/>
    <w:p>
      <w:r>
        <w:rPr>
          <w:i/>
          <w:color w:val="595959"/>
          <w:sz w:val="18"/>
        </w:rPr>
        <w:t>Release log maintained by the Platform Engineering team. For questions contact: #eng-releases on Slack.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