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D6B"/>
          <w:sz w:val="20"/>
          <w:szCs w:val="20"/>
        </w:rPr>
        <w:t xml:space="preserve">TRACK A — HEALTH &amp; MOTOR CLAIMS  |  PROJECT A1  |  DIFFICULTY: MEDIUM</w:t>
      </w:r>
    </w:p>
    <w:p>
      <w:pPr>
        <w:spacing w:after="100"/>
      </w:pPr>
      <w:r>
        <w:rPr>
          <w:b/>
          <w:bCs/>
          <w:color w:val="1F4E5F"/>
          <w:sz w:val="40"/>
          <w:szCs w:val="40"/>
        </w:rPr>
        <w:t xml:space="preserve">Cashless Pre-authorisation Agent (NHCX-aligned)</w:t>
      </w:r>
    </w:p>
    <w:p>
      <w:pPr>
        <w:spacing w:after="300"/>
      </w:pPr>
      <w:r>
        <w:rPr>
          <w:i/>
          <w:iCs/>
          <w:color w:val="595959"/>
          <w:sz w:val="24"/>
          <w:szCs w:val="24"/>
        </w:rPr>
        <w:t xml:space="preserve">Team Capstone Implementation Plan — 3-Member Work Breakdown</w:t>
      </w:r>
    </w:p>
    <w:p>
      <w:pPr>
        <w:pStyle w:val="Heading1"/>
        <w:pBdr>
          <w:bottom w:val="single" w:color="1F4E5F" w:sz="8" w:space="4"/>
        </w:pBdr>
        <w:spacing w:after="160" w:before="360"/>
      </w:pPr>
      <w:r>
        <w:rPr>
          <w:b/>
          <w:bCs/>
          <w:color w:val="1F4E5F"/>
          <w:sz w:val="30"/>
          <w:szCs w:val="30"/>
        </w:rPr>
        <w:t xml:space="preserve">1. Problem</w:t>
      </w:r>
    </w:p>
    <w:p>
      <w:pPr>
        <w:spacing w:after="140" w:line="276"/>
      </w:pPr>
      <w:r>
        <w:rPr>
          <w:sz w:val="21"/>
          <w:szCs w:val="21"/>
        </w:rPr>
        <w:t xml:space="preserve">India's IRDAI Master Circular on Health Insurance Business (May 2024) turned cashless authorisation into a hard, timed compliance obligation: pre-authorisation decisions must be made within one hour of a hospital's request, and final discharge authorisation within three hours. Missing that clock is not a service lapse — it is a regulatory breach.</w:t>
      </w:r>
    </w:p>
    <w:p>
      <w:pPr>
        <w:spacing w:after="140" w:line="276"/>
      </w:pPr>
      <w:r>
        <w:rPr>
          <w:sz w:val="21"/>
          <w:szCs w:val="21"/>
        </w:rPr>
        <w:t xml:space="preserve">Today, most of that first-touch decision is mechanical rather than judgment-heavy: read the hospital's pre-auth request, locate the correct policy wording and any endorsements, check waiting periods, sub-limits, room-rent capping, co-pay and exclusions, and confirm the admission date falls inside the policy period. Because this is done manually and under time pressure, two adjudicators can reach different conclusions on identical facts, and customers experience repeated “please send one more document” cycles — the single largest driver of poor claims experience and Ombudsman complaints.</w:t>
      </w:r>
    </w:p>
    <w:p>
      <w:pPr>
        <w:spacing w:after="140" w:line="276"/>
      </w:pPr>
      <w:r>
        <w:rPr>
          <w:sz w:val="21"/>
          <w:szCs w:val="21"/>
        </w:rPr>
        <w:t xml:space="preserve">The problem this project solves: build an agent that performs this mechanical first pass — ingest, extract, retrieve the governing clause, apply the rule, and produce a defensible, cited recommendation — fast enough to fit inside the regulatory window, while a human remains the only party who actually authorises or denies a claim.</w:t>
      </w:r>
    </w:p>
    <w:p>
      <w:pPr>
        <w:pStyle w:val="Heading1"/>
        <w:pBdr>
          <w:bottom w:val="single" w:color="1F4E5F" w:sz="8" w:space="4"/>
        </w:pBdr>
        <w:spacing w:after="160" w:before="360"/>
      </w:pPr>
      <w:r>
        <w:rPr>
          <w:b/>
          <w:bCs/>
          <w:color w:val="1F4E5F"/>
          <w:sz w:val="30"/>
          <w:szCs w:val="30"/>
        </w:rPr>
        <w:t xml:space="preserve">2. Contribution</w:t>
      </w:r>
    </w:p>
    <w:p>
      <w:pPr>
        <w:spacing w:after="140" w:line="276"/>
      </w:pPr>
      <w:r>
        <w:rPr>
          <w:sz w:val="21"/>
          <w:szCs w:val="21"/>
        </w:rPr>
        <w:t xml:space="preserve">The team will design and build an end-to-end, recommend-only agentic pipeline that:</w:t>
      </w:r>
    </w:p>
    <w:p>
      <w:pPr>
        <w:pStyle w:val="ListParagraph"/>
        <w:numPr>
          <w:ilvl w:val="0"/>
          <w:numId w:val="2"/>
        </w:numPr>
        <w:spacing w:after="60" w:line="270"/>
      </w:pPr>
      <w:r>
        <w:rPr>
          <w:sz w:val="21"/>
          <w:szCs w:val="21"/>
        </w:rPr>
        <w:t xml:space="preserve">Ingests a hospital cashless pre-authorisation request (synthetic, NHCX/FHIR-style payload — PDF, scanned image or structured JSON).</w:t>
      </w:r>
    </w:p>
    <w:p>
      <w:pPr>
        <w:pStyle w:val="ListParagraph"/>
        <w:numPr>
          <w:ilvl w:val="0"/>
          <w:numId w:val="2"/>
        </w:numPr>
        <w:spacing w:after="60" w:line="270"/>
      </w:pPr>
      <w:r>
        <w:rPr>
          <w:sz w:val="21"/>
          <w:szCs w:val="21"/>
        </w:rPr>
        <w:t xml:space="preserve">Extracts a structured clinical and financial record (patient/policy IDs, diagnosis, procedure, estimated cost, admission type, hospital details) into a validated Pydantic schema.</w:t>
      </w:r>
    </w:p>
    <w:p>
      <w:pPr>
        <w:pStyle w:val="ListParagraph"/>
        <w:numPr>
          <w:ilvl w:val="0"/>
          <w:numId w:val="2"/>
        </w:numPr>
        <w:spacing w:after="60" w:line="270"/>
      </w:pPr>
      <w:r>
        <w:rPr>
          <w:sz w:val="21"/>
          <w:szCs w:val="21"/>
        </w:rPr>
        <w:t xml:space="preserve">Retrieves the applicable benefit structure and policy clauses — waiting periods, sub-limits, room-rent capping, co-pay, deductibles, exclusions, the IRDAI non-payables list.</w:t>
      </w:r>
    </w:p>
    <w:p>
      <w:pPr>
        <w:pStyle w:val="ListParagraph"/>
        <w:numPr>
          <w:ilvl w:val="0"/>
          <w:numId w:val="2"/>
        </w:numPr>
        <w:spacing w:after="60" w:line="270"/>
      </w:pPr>
      <w:r>
        <w:rPr>
          <w:sz w:val="21"/>
          <w:szCs w:val="21"/>
        </w:rPr>
        <w:t xml:space="preserve">Reasons against those clauses to produce one of three recommendations — Authorise / Query / Deny — never an automatic decision.</w:t>
      </w:r>
    </w:p>
    <w:p>
      <w:pPr>
        <w:pStyle w:val="ListParagraph"/>
        <w:numPr>
          <w:ilvl w:val="0"/>
          <w:numId w:val="2"/>
        </w:numPr>
        <w:spacing w:after="60" w:line="270"/>
      </w:pPr>
      <w:r>
        <w:rPr>
          <w:sz w:val="21"/>
          <w:szCs w:val="21"/>
        </w:rPr>
        <w:t xml:space="preserve">Shows the arithmetic and cites the exact clause behind every capping or deduction.</w:t>
      </w:r>
    </w:p>
    <w:p>
      <w:pPr>
        <w:pStyle w:val="ListParagraph"/>
        <w:numPr>
          <w:ilvl w:val="0"/>
          <w:numId w:val="2"/>
        </w:numPr>
        <w:spacing w:after="60" w:line="270"/>
      </w:pPr>
      <w:r>
        <w:rPr>
          <w:sz w:val="21"/>
          <w:szCs w:val="21"/>
        </w:rPr>
        <w:t xml:space="preserve">Routes low-confidence, high-value or clause-ambiguous cases to a human reviewer queue, and logs every step to an immutable audit trail.</w:t>
      </w:r>
    </w:p>
    <w:p>
      <w:pPr>
        <w:pStyle w:val="ListParagraph"/>
        <w:numPr>
          <w:ilvl w:val="0"/>
          <w:numId w:val="2"/>
        </w:numPr>
        <w:spacing w:after="60" w:line="270"/>
      </w:pPr>
      <w:r>
        <w:rPr>
          <w:sz w:val="21"/>
          <w:szCs w:val="21"/>
        </w:rPr>
        <w:t xml:space="preserve">Is evaluated on turnaround time against the regulatory clock, extraction and retrieval quality, grounding fidelity, decision accuracy and behaviour on adversarial inputs.</w:t>
      </w:r>
    </w:p>
    <w:p>
      <w:pPr>
        <w:spacing w:after="140" w:line="276"/>
      </w:pPr>
      <w:r>
        <w:rPr>
          <w:sz w:val="21"/>
          <w:szCs w:val="21"/>
        </w:rPr>
        <w:t xml:space="preserve">This is a “recommend, never decide” system in line with the governance guardrails in Section 8 — a human always signs off before any real authorisation or denial is issued.</w:t>
      </w:r>
    </w:p>
    <w:p>
      <w:pPr>
        <w:pStyle w:val="Heading1"/>
        <w:pBdr>
          <w:bottom w:val="single" w:color="1F4E5F" w:sz="8" w:space="4"/>
        </w:pBdr>
        <w:spacing w:after="160" w:before="360"/>
      </w:pPr>
      <w:r>
        <w:rPr>
          <w:b/>
          <w:bCs/>
          <w:color w:val="1F4E5F"/>
          <w:sz w:val="30"/>
          <w:szCs w:val="30"/>
        </w:rPr>
        <w:t xml:space="preserve">3. Team &amp; Role Split</w:t>
      </w:r>
    </w:p>
    <w:p>
      <w:pPr>
        <w:spacing w:after="140" w:line="276"/>
      </w:pPr>
      <w:r>
        <w:rPr>
          <w:sz w:val="21"/>
          <w:szCs w:val="21"/>
        </w:rPr>
        <w:t xml:space="preserve">Work is split along the shared technical spine so each member owns a coherent vertical slice, while all three integrate weekly. This keeps ownership clear and makes the Week 7–8 orchestration integration tractable.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200"/>
      </w:tblGrid>
      <w:tr>
        <w:trPr>
          <w:tblHeader/>
        </w:trPr>
        <w:tc>
          <w:tcPr>
            <w:tcW w:type="dxa" w:w="2200"/>
            <w:shd w:fill="1F4E5F" w:val="clear"/>
            <w:tcMar>
              <w:top w:type="dxa" w:w="80"/>
              <w:left w:type="dxa" w:w="100"/>
              <w:bottom w:type="dxa" w:w="80"/>
              <w:right w:type="dxa" w:w="100"/>
            </w:tcMar>
          </w:tcPr>
          <w:p>
            <w:pPr>
              <w:jc w:val="left"/>
            </w:pPr>
            <w:r>
              <w:rPr>
                <w:b/>
                <w:bCs/>
                <w:color w:val="FFFFFF"/>
                <w:sz w:val="19"/>
                <w:szCs w:val="19"/>
              </w:rPr>
              <w:t xml:space="preserve">Member</w:t>
            </w:r>
          </w:p>
        </w:tc>
        <w:tc>
          <w:tcPr>
            <w:tcW w:type="dxa" w:w="3400"/>
            <w:shd w:fill="1F4E5F" w:val="clear"/>
            <w:tcMar>
              <w:top w:type="dxa" w:w="80"/>
              <w:left w:type="dxa" w:w="100"/>
              <w:bottom w:type="dxa" w:w="80"/>
              <w:right w:type="dxa" w:w="100"/>
            </w:tcMar>
          </w:tcPr>
          <w:p>
            <w:pPr>
              <w:jc w:val="left"/>
            </w:pPr>
            <w:r>
              <w:rPr>
                <w:b/>
                <w:bCs/>
                <w:color w:val="FFFFFF"/>
                <w:sz w:val="19"/>
                <w:szCs w:val="19"/>
              </w:rPr>
              <w:t xml:space="preserve">Role</w:t>
            </w:r>
          </w:p>
        </w:tc>
        <w:tc>
          <w:tcPr>
            <w:tcW w:type="dxa" w:w="4200"/>
            <w:shd w:fill="1F4E5F" w:val="clear"/>
            <w:tcMar>
              <w:top w:type="dxa" w:w="80"/>
              <w:left w:type="dxa" w:w="100"/>
              <w:bottom w:type="dxa" w:w="80"/>
              <w:right w:type="dxa" w:w="100"/>
            </w:tcMar>
          </w:tcPr>
          <w:p>
            <w:pPr>
              <w:jc w:val="left"/>
            </w:pPr>
            <w:r>
              <w:rPr>
                <w:b/>
                <w:bCs/>
                <w:color w:val="FFFFFF"/>
                <w:sz w:val="19"/>
                <w:szCs w:val="19"/>
              </w:rPr>
              <w:t xml:space="preserve">Owns (pipeline stages)</w:t>
            </w:r>
          </w:p>
        </w:tc>
      </w:tr>
      <w:tr>
        <w:tc>
          <w:tcPr>
            <w:tcW w:type="dxa" w:w="2200"/>
            <w:shd w:fill="EAF2F1" w:val="clear"/>
            <w:tcMar>
              <w:top w:type="dxa" w:w="80"/>
              <w:left w:type="dxa" w:w="100"/>
              <w:bottom w:type="dxa" w:w="80"/>
              <w:right w:type="dxa" w:w="100"/>
            </w:tcMar>
          </w:tcPr>
          <w:p>
            <w:pPr>
              <w:jc w:val="left"/>
            </w:pPr>
            <w:r>
              <w:rPr>
                <w:b w:val="false"/>
                <w:bCs w:val="false"/>
                <w:color w:val="000000"/>
                <w:sz w:val="19"/>
                <w:szCs w:val="19"/>
              </w:rPr>
              <w:t xml:space="preserve">Member 1</w:t>
            </w:r>
          </w:p>
        </w:tc>
        <w:tc>
          <w:tcPr>
            <w:tcW w:type="dxa" w:w="3400"/>
            <w:shd w:fill="EAF2F1" w:val="clear"/>
            <w:tcMar>
              <w:top w:type="dxa" w:w="80"/>
              <w:left w:type="dxa" w:w="100"/>
              <w:bottom w:type="dxa" w:w="80"/>
              <w:right w:type="dxa" w:w="100"/>
            </w:tcMar>
          </w:tcPr>
          <w:p>
            <w:pPr>
              <w:jc w:val="left"/>
            </w:pPr>
            <w:r>
              <w:rPr>
                <w:b w:val="false"/>
                <w:bCs w:val="false"/>
                <w:color w:val="000000"/>
                <w:sz w:val="19"/>
                <w:szCs w:val="19"/>
              </w:rPr>
              <w:t xml:space="preserve">Data &amp; Extraction Engineer</w:t>
            </w:r>
          </w:p>
        </w:tc>
        <w:tc>
          <w:tcPr>
            <w:tcW w:type="dxa" w:w="4200"/>
            <w:shd w:fill="EAF2F1" w:val="clear"/>
            <w:tcMar>
              <w:top w:type="dxa" w:w="80"/>
              <w:left w:type="dxa" w:w="100"/>
              <w:bottom w:type="dxa" w:w="80"/>
              <w:right w:type="dxa" w:w="100"/>
            </w:tcMar>
          </w:tcPr>
          <w:p>
            <w:pPr>
              <w:jc w:val="left"/>
            </w:pPr>
            <w:r>
              <w:rPr>
                <w:b w:val="false"/>
                <w:bCs w:val="false"/>
                <w:color w:val="000000"/>
                <w:sz w:val="19"/>
                <w:szCs w:val="19"/>
              </w:rPr>
              <w:t xml:space="preserve">Synthetic data generation → multi-format ingestion → structured extraction &amp; schema validation</w:t>
            </w:r>
          </w:p>
        </w:tc>
      </w:tr>
      <w:tr>
        <w:tc>
          <w:tcPr>
            <w:tcW w:type="dxa" w:w="2200"/>
            <w:shd w:fill="FFFFFF" w:val="clear"/>
            <w:tcMar>
              <w:top w:type="dxa" w:w="80"/>
              <w:left w:type="dxa" w:w="100"/>
              <w:bottom w:type="dxa" w:w="80"/>
              <w:right w:type="dxa" w:w="100"/>
            </w:tcMar>
          </w:tcPr>
          <w:p>
            <w:pPr>
              <w:jc w:val="left"/>
            </w:pPr>
            <w:r>
              <w:rPr>
                <w:b w:val="false"/>
                <w:bCs w:val="false"/>
                <w:color w:val="000000"/>
                <w:sz w:val="19"/>
                <w:szCs w:val="19"/>
              </w:rPr>
              <w:t xml:space="preserve">Member 2</w:t>
            </w:r>
          </w:p>
        </w:tc>
        <w:tc>
          <w:tcPr>
            <w:tcW w:type="dxa" w:w="3400"/>
            <w:shd w:fill="FFFFFF" w:val="clear"/>
            <w:tcMar>
              <w:top w:type="dxa" w:w="80"/>
              <w:left w:type="dxa" w:w="100"/>
              <w:bottom w:type="dxa" w:w="80"/>
              <w:right w:type="dxa" w:w="100"/>
            </w:tcMar>
          </w:tcPr>
          <w:p>
            <w:pPr>
              <w:jc w:val="left"/>
            </w:pPr>
            <w:r>
              <w:rPr>
                <w:b w:val="false"/>
                <w:bCs w:val="false"/>
                <w:color w:val="000000"/>
                <w:sz w:val="19"/>
                <w:szCs w:val="19"/>
              </w:rPr>
              <w:t xml:space="preserve">Retrieval, Rules &amp; Orchestration Engineer</w:t>
            </w:r>
          </w:p>
        </w:tc>
        <w:tc>
          <w:tcPr>
            <w:tcW w:type="dxa" w:w="4200"/>
            <w:shd w:fill="FFFFFF" w:val="clear"/>
            <w:tcMar>
              <w:top w:type="dxa" w:w="80"/>
              <w:left w:type="dxa" w:w="100"/>
              <w:bottom w:type="dxa" w:w="80"/>
              <w:right w:type="dxa" w:w="100"/>
            </w:tcMar>
          </w:tcPr>
          <w:p>
            <w:pPr>
              <w:jc w:val="left"/>
            </w:pPr>
            <w:r>
              <w:rPr>
                <w:b w:val="false"/>
                <w:bCs w:val="false"/>
                <w:color w:val="000000"/>
                <w:sz w:val="19"/>
                <w:szCs w:val="19"/>
              </w:rPr>
              <w:t xml:space="preserve">Clause retrieval → rules engine → tool calls into mock core systems → agent orchestration &amp; decisioning</w:t>
            </w:r>
          </w:p>
        </w:tc>
      </w:tr>
      <w:tr>
        <w:tc>
          <w:tcPr>
            <w:tcW w:type="dxa" w:w="2200"/>
            <w:shd w:fill="EAF2F1" w:val="clear"/>
            <w:tcMar>
              <w:top w:type="dxa" w:w="80"/>
              <w:left w:type="dxa" w:w="100"/>
              <w:bottom w:type="dxa" w:w="80"/>
              <w:right w:type="dxa" w:w="100"/>
            </w:tcMar>
          </w:tcPr>
          <w:p>
            <w:pPr>
              <w:jc w:val="left"/>
            </w:pPr>
            <w:r>
              <w:rPr>
                <w:b w:val="false"/>
                <w:bCs w:val="false"/>
                <w:color w:val="000000"/>
                <w:sz w:val="19"/>
                <w:szCs w:val="19"/>
              </w:rPr>
              <w:t xml:space="preserve">Member 3</w:t>
            </w:r>
          </w:p>
        </w:tc>
        <w:tc>
          <w:tcPr>
            <w:tcW w:type="dxa" w:w="3400"/>
            <w:shd w:fill="EAF2F1" w:val="clear"/>
            <w:tcMar>
              <w:top w:type="dxa" w:w="80"/>
              <w:left w:type="dxa" w:w="100"/>
              <w:bottom w:type="dxa" w:w="80"/>
              <w:right w:type="dxa" w:w="100"/>
            </w:tcMar>
          </w:tcPr>
          <w:p>
            <w:pPr>
              <w:jc w:val="left"/>
            </w:pPr>
            <w:r>
              <w:rPr>
                <w:b w:val="false"/>
                <w:bCs w:val="false"/>
                <w:color w:val="000000"/>
                <w:sz w:val="19"/>
                <w:szCs w:val="19"/>
              </w:rPr>
              <w:t xml:space="preserve">Evaluation, Governance &amp; Interface Engineer</w:t>
            </w:r>
          </w:p>
        </w:tc>
        <w:tc>
          <w:tcPr>
            <w:tcW w:type="dxa" w:w="4200"/>
            <w:shd w:fill="EAF2F1" w:val="clear"/>
            <w:tcMar>
              <w:top w:type="dxa" w:w="80"/>
              <w:left w:type="dxa" w:w="100"/>
              <w:bottom w:type="dxa" w:w="80"/>
              <w:right w:type="dxa" w:w="100"/>
            </w:tcMar>
          </w:tcPr>
          <w:p>
            <w:pPr>
              <w:jc w:val="left"/>
            </w:pPr>
            <w:r>
              <w:rPr>
                <w:b w:val="false"/>
                <w:bCs w:val="false"/>
                <w:color w:val="000000"/>
                <w:sz w:val="19"/>
                <w:szCs w:val="19"/>
              </w:rPr>
              <w:t xml:space="preserve">Escalation router → audit log → evaluation harness → deployment note → demo interface</w:t>
            </w:r>
          </w:p>
        </w:tc>
      </w:tr>
    </w:tbl>
    <w:p>
      <w:pPr>
        <w:pStyle w:val="Heading1"/>
        <w:pBdr>
          <w:bottom w:val="single" w:color="1F4E5F" w:sz="8" w:space="4"/>
        </w:pBdr>
        <w:spacing w:after="160" w:before="360"/>
      </w:pPr>
      <w:r>
        <w:rPr>
          <w:b/>
          <w:bCs/>
          <w:color w:val="1F4E5F"/>
          <w:sz w:val="30"/>
          <w:szCs w:val="30"/>
        </w:rPr>
        <w:t xml:space="preserve">4. Tech Stack</w:t>
      </w:r>
    </w:p>
    <w:p>
      <w:pPr>
        <w:pStyle w:val="Heading2"/>
        <w:spacing w:after="120" w:before="280"/>
      </w:pPr>
      <w:r>
        <w:rPr>
          <w:b/>
          <w:bCs/>
          <w:color w:val="2E7D6B"/>
          <w:sz w:val="24"/>
          <w:szCs w:val="24"/>
        </w:rPr>
        <w:t xml:space="preserve">4.1 Shared foundation (all members)</w:t>
      </w:r>
    </w:p>
    <w:p>
      <w:pPr>
        <w:pStyle w:val="ListParagraph"/>
        <w:numPr>
          <w:ilvl w:val="0"/>
          <w:numId w:val="3"/>
        </w:numPr>
        <w:spacing w:after="60" w:line="270"/>
      </w:pPr>
      <w:r>
        <w:rPr>
          <w:sz w:val="21"/>
          <w:szCs w:val="21"/>
        </w:rPr>
        <w:t xml:space="preserve">Language &amp; environment: Python 3.11, Git/GitHub, virtualenv or Poetry</w:t>
      </w:r>
    </w:p>
    <w:p>
      <w:pPr>
        <w:pStyle w:val="ListParagraph"/>
        <w:numPr>
          <w:ilvl w:val="0"/>
          <w:numId w:val="3"/>
        </w:numPr>
        <w:spacing w:after="60" w:line="270"/>
      </w:pPr>
      <w:r>
        <w:rPr>
          <w:sz w:val="21"/>
          <w:szCs w:val="21"/>
        </w:rPr>
        <w:t xml:space="preserve">Schema &amp; validation: Pydantic v2 (structured extraction, decision object, audit record)</w:t>
      </w:r>
    </w:p>
    <w:p>
      <w:pPr>
        <w:pStyle w:val="ListParagraph"/>
        <w:numPr>
          <w:ilvl w:val="0"/>
          <w:numId w:val="3"/>
        </w:numPr>
        <w:spacing w:after="60" w:line="270"/>
      </w:pPr>
      <w:r>
        <w:rPr>
          <w:sz w:val="21"/>
          <w:szCs w:val="21"/>
        </w:rPr>
        <w:t xml:space="preserve">Agent orchestration: LangGraph (recommended for explicit state machine + human-in-the-loop nodes) or CrewAI as an alternative — pick one and justify in the report</w:t>
      </w:r>
    </w:p>
    <w:p>
      <w:pPr>
        <w:pStyle w:val="ListParagraph"/>
        <w:numPr>
          <w:ilvl w:val="0"/>
          <w:numId w:val="3"/>
        </w:numPr>
        <w:spacing w:after="60" w:line="270"/>
      </w:pPr>
      <w:r>
        <w:rPr>
          <w:sz w:val="21"/>
          <w:szCs w:val="21"/>
        </w:rPr>
        <w:t xml:space="preserve">LLM access: Claude or GPT via API for extraction/reasoning; optionally one open-weight model (e.g. Llama/Mistral class) for the deployment-note cost/quality comparison</w:t>
      </w:r>
    </w:p>
    <w:p>
      <w:pPr>
        <w:pStyle w:val="ListParagraph"/>
        <w:numPr>
          <w:ilvl w:val="0"/>
          <w:numId w:val="3"/>
        </w:numPr>
        <w:spacing w:after="60" w:line="270"/>
      </w:pPr>
      <w:r>
        <w:rPr>
          <w:sz w:val="21"/>
          <w:szCs w:val="21"/>
        </w:rPr>
        <w:t xml:space="preserve">Document parsing: pdfplumber / PyMuPDF for text PDFs, Tesseract or PaddleOCR for scanned pre-auth forms</w:t>
      </w:r>
    </w:p>
    <w:p>
      <w:pPr>
        <w:pStyle w:val="ListParagraph"/>
        <w:numPr>
          <w:ilvl w:val="0"/>
          <w:numId w:val="3"/>
        </w:numPr>
        <w:spacing w:after="60" w:line="270"/>
      </w:pPr>
      <w:r>
        <w:rPr>
          <w:sz w:val="21"/>
          <w:szCs w:val="21"/>
        </w:rPr>
        <w:t xml:space="preserve">Data interchange target: FHIR-style JSON, aligned to NHCX's claim exchange structure rather than a bespoke schema</w:t>
      </w:r>
    </w:p>
    <w:p>
      <w:pPr>
        <w:pStyle w:val="Heading2"/>
        <w:spacing w:after="120" w:before="280"/>
      </w:pPr>
      <w:r>
        <w:rPr>
          <w:b/>
          <w:bCs/>
          <w:color w:val="2E7D6B"/>
          <w:sz w:val="24"/>
          <w:szCs w:val="24"/>
        </w:rPr>
        <w:t xml:space="preserve">4.2 Member-specific tooling</w:t>
      </w:r>
    </w:p>
    <w:p>
      <w:pPr>
        <w:spacing w:after="80" w:before="200"/>
      </w:pPr>
      <w:r>
        <w:rPr>
          <w:b/>
          <w:bCs/>
          <w:color w:val="333333"/>
          <w:sz w:val="22"/>
          <w:szCs w:val="22"/>
        </w:rPr>
        <w:t xml:space="preserve">Member 1 — Data &amp; Extraction</w:t>
      </w:r>
    </w:p>
    <w:p>
      <w:pPr>
        <w:pStyle w:val="ListParagraph"/>
        <w:numPr>
          <w:ilvl w:val="0"/>
          <w:numId w:val="3"/>
        </w:numPr>
        <w:spacing w:after="60" w:line="270"/>
      </w:pPr>
      <w:r>
        <w:rPr>
          <w:sz w:val="21"/>
          <w:szCs w:val="21"/>
        </w:rPr>
        <w:t xml:space="preserve">Synthetic data: LLM-assisted generation + Faker for identifiers; a documented generator script (governance guardrail: synthetic data only)</w:t>
      </w:r>
    </w:p>
    <w:p>
      <w:pPr>
        <w:pStyle w:val="ListParagraph"/>
        <w:numPr>
          <w:ilvl w:val="0"/>
          <w:numId w:val="3"/>
        </w:numPr>
        <w:spacing w:after="60" w:line="270"/>
      </w:pPr>
      <w:r>
        <w:rPr>
          <w:sz w:val="21"/>
          <w:szCs w:val="21"/>
        </w:rPr>
        <w:t xml:space="preserve">Extraction: LLM function-calling / structured-output mode, validated against Pydantic schemas; OCR post-processing for scanned inputs</w:t>
      </w:r>
    </w:p>
    <w:p>
      <w:pPr>
        <w:spacing w:after="80" w:before="200"/>
      </w:pPr>
      <w:r>
        <w:rPr>
          <w:b/>
          <w:bCs/>
          <w:color w:val="333333"/>
          <w:sz w:val="22"/>
          <w:szCs w:val="22"/>
        </w:rPr>
        <w:t xml:space="preserve">Member 2 — Retrieval &amp; Orchestration</w:t>
      </w:r>
    </w:p>
    <w:p>
      <w:pPr>
        <w:pStyle w:val="ListParagraph"/>
        <w:numPr>
          <w:ilvl w:val="0"/>
          <w:numId w:val="3"/>
        </w:numPr>
        <w:spacing w:after="60" w:line="270"/>
      </w:pPr>
      <w:r>
        <w:rPr>
          <w:sz w:val="21"/>
          <w:szCs w:val="21"/>
        </w:rPr>
        <w:t xml:space="preserve">Vector store: FAISS or Chroma; embeddings via OpenAI/Cohere/local sentence-transformers</w:t>
      </w:r>
    </w:p>
    <w:p>
      <w:pPr>
        <w:pStyle w:val="ListParagraph"/>
        <w:numPr>
          <w:ilvl w:val="0"/>
          <w:numId w:val="3"/>
        </w:numPr>
        <w:spacing w:after="60" w:line="270"/>
      </w:pPr>
      <w:r>
        <w:rPr>
          <w:sz w:val="21"/>
          <w:szCs w:val="21"/>
        </w:rPr>
        <w:t xml:space="preserve">Rules engine: Python rule objects or a lightweight DSL for waiting period / sub-limit / co-pay / room-rent capping logic</w:t>
      </w:r>
    </w:p>
    <w:p>
      <w:pPr>
        <w:pStyle w:val="ListParagraph"/>
        <w:numPr>
          <w:ilvl w:val="0"/>
          <w:numId w:val="3"/>
        </w:numPr>
        <w:spacing w:after="60" w:line="270"/>
      </w:pPr>
      <w:r>
        <w:rPr>
          <w:sz w:val="21"/>
          <w:szCs w:val="21"/>
        </w:rPr>
        <w:t xml:space="preserve">Mock core systems: FastAPI stub endpoints simulating the policy admin and claims systems (tool-calling targets)</w:t>
      </w:r>
    </w:p>
    <w:p>
      <w:pPr>
        <w:spacing w:after="80" w:before="200"/>
      </w:pPr>
      <w:r>
        <w:rPr>
          <w:b/>
          <w:bCs/>
          <w:color w:val="333333"/>
          <w:sz w:val="22"/>
          <w:szCs w:val="22"/>
        </w:rPr>
        <w:t xml:space="preserve">Member 3 — Evaluation, Governance &amp; Interface</w:t>
      </w:r>
    </w:p>
    <w:p>
      <w:pPr>
        <w:pStyle w:val="ListParagraph"/>
        <w:numPr>
          <w:ilvl w:val="0"/>
          <w:numId w:val="3"/>
        </w:numPr>
        <w:spacing w:after="60" w:line="270"/>
      </w:pPr>
      <w:r>
        <w:rPr>
          <w:sz w:val="21"/>
          <w:szCs w:val="21"/>
        </w:rPr>
        <w:t xml:space="preserve">Evaluation: pytest + pandas scoring notebook/script against the golden test set</w:t>
      </w:r>
    </w:p>
    <w:p>
      <w:pPr>
        <w:pStyle w:val="ListParagraph"/>
        <w:numPr>
          <w:ilvl w:val="0"/>
          <w:numId w:val="3"/>
        </w:numPr>
        <w:spacing w:after="60" w:line="270"/>
      </w:pPr>
      <w:r>
        <w:rPr>
          <w:sz w:val="21"/>
          <w:szCs w:val="21"/>
        </w:rPr>
        <w:t xml:space="preserve">Audit log: append-only store (SQLite or hash-chained JSON lines) for tamper-evidence</w:t>
      </w:r>
    </w:p>
    <w:p>
      <w:pPr>
        <w:pStyle w:val="ListParagraph"/>
        <w:numPr>
          <w:ilvl w:val="0"/>
          <w:numId w:val="3"/>
        </w:numPr>
        <w:spacing w:after="60" w:line="270"/>
      </w:pPr>
      <w:r>
        <w:rPr>
          <w:sz w:val="21"/>
          <w:szCs w:val="21"/>
        </w:rPr>
        <w:t xml:space="preserve">Demo/UI: Streamlit (fastest) or FastAPI + a minimal React front end for the reviewer queue and audit trail viewer</w:t>
      </w:r>
    </w:p>
    <w:p>
      <w:pPr>
        <w:pStyle w:val="Heading1"/>
        <w:pBdr>
          <w:bottom w:val="single" w:color="1F4E5F" w:sz="8" w:space="4"/>
        </w:pBdr>
        <w:spacing w:after="160" w:before="360"/>
      </w:pPr>
      <w:r>
        <w:rPr>
          <w:b/>
          <w:bCs/>
          <w:color w:val="1F4E5F"/>
          <w:sz w:val="30"/>
          <w:szCs w:val="30"/>
        </w:rPr>
        <w:t xml:space="preserve">5. Workflow</w:t>
      </w:r>
    </w:p>
    <w:p>
      <w:pPr>
        <w:spacing w:after="140" w:line="276"/>
      </w:pPr>
      <w:r>
        <w:rPr>
          <w:sz w:val="21"/>
          <w:szCs w:val="21"/>
        </w:rPr>
        <w:t xml:space="preserve">The pipeline follows the shared technical spine used across all 17 capstone teams, specialised for cashless pre-authorisation: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400"/>
      </w:tblGrid>
      <w:tr>
        <w:trPr>
          <w:tblHeader/>
        </w:trPr>
        <w:tc>
          <w:tcPr>
            <w:tcW w:type="dxa" w:w="2200"/>
            <w:shd w:fill="1F4E5F" w:val="clear"/>
            <w:tcMar>
              <w:top w:type="dxa" w:w="80"/>
              <w:left w:type="dxa" w:w="100"/>
              <w:bottom w:type="dxa" w:w="80"/>
              <w:right w:type="dxa" w:w="100"/>
            </w:tcMar>
          </w:tcPr>
          <w:p>
            <w:pPr>
              <w:jc w:val="left"/>
            </w:pPr>
            <w:r>
              <w:rPr>
                <w:b/>
                <w:bCs/>
                <w:color w:val="FFFFFF"/>
                <w:sz w:val="19"/>
                <w:szCs w:val="19"/>
              </w:rPr>
              <w:t xml:space="preserve">Stage</w:t>
            </w:r>
          </w:p>
        </w:tc>
        <w:tc>
          <w:tcPr>
            <w:tcW w:type="dxa" w:w="5200"/>
            <w:shd w:fill="1F4E5F" w:val="clear"/>
            <w:tcMar>
              <w:top w:type="dxa" w:w="80"/>
              <w:left w:type="dxa" w:w="100"/>
              <w:bottom w:type="dxa" w:w="80"/>
              <w:right w:type="dxa" w:w="100"/>
            </w:tcMar>
          </w:tcPr>
          <w:p>
            <w:pPr>
              <w:jc w:val="left"/>
            </w:pPr>
            <w:r>
              <w:rPr>
                <w:b/>
                <w:bCs/>
                <w:color w:val="FFFFFF"/>
                <w:sz w:val="19"/>
                <w:szCs w:val="19"/>
              </w:rPr>
              <w:t xml:space="preserve">What happens</w:t>
            </w:r>
          </w:p>
        </w:tc>
        <w:tc>
          <w:tcPr>
            <w:tcW w:type="dxa" w:w="2400"/>
            <w:shd w:fill="1F4E5F" w:val="clear"/>
            <w:tcMar>
              <w:top w:type="dxa" w:w="80"/>
              <w:left w:type="dxa" w:w="100"/>
              <w:bottom w:type="dxa" w:w="80"/>
              <w:right w:type="dxa" w:w="100"/>
            </w:tcMar>
          </w:tcPr>
          <w:p>
            <w:pPr>
              <w:jc w:val="left"/>
            </w:pPr>
            <w:r>
              <w:rPr>
                <w:b/>
                <w:bCs/>
                <w:color w:val="FFFFFF"/>
                <w:sz w:val="19"/>
                <w:szCs w:val="19"/>
              </w:rPr>
              <w:t xml:space="preserve">Primary owner</w:t>
            </w:r>
          </w:p>
        </w:tc>
      </w:tr>
      <w:tr>
        <w:tc>
          <w:tcPr>
            <w:tcW w:type="dxa" w:w="2200"/>
            <w:shd w:fill="EAF2F1" w:val="clear"/>
            <w:tcMar>
              <w:top w:type="dxa" w:w="80"/>
              <w:left w:type="dxa" w:w="100"/>
              <w:bottom w:type="dxa" w:w="80"/>
              <w:right w:type="dxa" w:w="100"/>
            </w:tcMar>
          </w:tcPr>
          <w:p>
            <w:pPr>
              <w:jc w:val="left"/>
            </w:pPr>
            <w:r>
              <w:rPr>
                <w:b w:val="false"/>
                <w:bCs w:val="false"/>
                <w:color w:val="000000"/>
                <w:sz w:val="19"/>
                <w:szCs w:val="19"/>
              </w:rPr>
              <w:t xml:space="preserve">1. Ingestion</w:t>
            </w:r>
          </w:p>
        </w:tc>
        <w:tc>
          <w:tcPr>
            <w:tcW w:type="dxa" w:w="5200"/>
            <w:shd w:fill="EAF2F1" w:val="clear"/>
            <w:tcMar>
              <w:top w:type="dxa" w:w="80"/>
              <w:left w:type="dxa" w:w="100"/>
              <w:bottom w:type="dxa" w:w="80"/>
              <w:right w:type="dxa" w:w="100"/>
            </w:tcMar>
          </w:tcPr>
          <w:p>
            <w:pPr>
              <w:jc w:val="left"/>
            </w:pPr>
            <w:r>
              <w:rPr>
                <w:b w:val="false"/>
                <w:bCs w:val="false"/>
                <w:color w:val="000000"/>
                <w:sz w:val="19"/>
                <w:szCs w:val="19"/>
              </w:rPr>
              <w:t xml:space="preserve">Hospital pre-auth request arrives as PDF / scanned image / JSON</w:t>
            </w:r>
          </w:p>
        </w:tc>
        <w:tc>
          <w:tcPr>
            <w:tcW w:type="dxa" w:w="2400"/>
            <w:shd w:fill="EAF2F1" w:val="clear"/>
            <w:tcMar>
              <w:top w:type="dxa" w:w="80"/>
              <w:left w:type="dxa" w:w="100"/>
              <w:bottom w:type="dxa" w:w="80"/>
              <w:right w:type="dxa" w:w="100"/>
            </w:tcMar>
          </w:tcPr>
          <w:p>
            <w:pPr>
              <w:jc w:val="left"/>
            </w:pPr>
            <w:r>
              <w:rPr>
                <w:b w:val="false"/>
                <w:bCs w:val="false"/>
                <w:color w:val="000000"/>
                <w:sz w:val="19"/>
                <w:szCs w:val="19"/>
              </w:rPr>
              <w:t xml:space="preserve">Member 1</w:t>
            </w:r>
          </w:p>
        </w:tc>
      </w:tr>
      <w:tr>
        <w:tc>
          <w:tcPr>
            <w:tcW w:type="dxa" w:w="2200"/>
            <w:shd w:fill="FFFFFF" w:val="clear"/>
            <w:tcMar>
              <w:top w:type="dxa" w:w="80"/>
              <w:left w:type="dxa" w:w="100"/>
              <w:bottom w:type="dxa" w:w="80"/>
              <w:right w:type="dxa" w:w="100"/>
            </w:tcMar>
          </w:tcPr>
          <w:p>
            <w:pPr>
              <w:jc w:val="left"/>
            </w:pPr>
            <w:r>
              <w:rPr>
                <w:b w:val="false"/>
                <w:bCs w:val="false"/>
                <w:color w:val="000000"/>
                <w:sz w:val="19"/>
                <w:szCs w:val="19"/>
              </w:rPr>
              <w:t xml:space="preserve">2. Structured extraction</w:t>
            </w:r>
          </w:p>
        </w:tc>
        <w:tc>
          <w:tcPr>
            <w:tcW w:type="dxa" w:w="5200"/>
            <w:shd w:fill="FFFFFF" w:val="clear"/>
            <w:tcMar>
              <w:top w:type="dxa" w:w="80"/>
              <w:left w:type="dxa" w:w="100"/>
              <w:bottom w:type="dxa" w:w="80"/>
              <w:right w:type="dxa" w:w="100"/>
            </w:tcMar>
          </w:tcPr>
          <w:p>
            <w:pPr>
              <w:jc w:val="left"/>
            </w:pPr>
            <w:r>
              <w:rPr>
                <w:b w:val="false"/>
                <w:bCs w:val="false"/>
                <w:color w:val="000000"/>
                <w:sz w:val="19"/>
                <w:szCs w:val="19"/>
              </w:rPr>
              <w:t xml:space="preserve">Parsed into a validated schema: patient, policy, hospital, diagnosis, procedure, estimated cost</w:t>
            </w:r>
          </w:p>
        </w:tc>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Member 1</w:t>
            </w:r>
          </w:p>
        </w:tc>
      </w:tr>
      <w:tr>
        <w:tc>
          <w:tcPr>
            <w:tcW w:type="dxa" w:w="2200"/>
            <w:shd w:fill="EAF2F1" w:val="clear"/>
            <w:tcMar>
              <w:top w:type="dxa" w:w="80"/>
              <w:left w:type="dxa" w:w="100"/>
              <w:bottom w:type="dxa" w:w="80"/>
              <w:right w:type="dxa" w:w="100"/>
            </w:tcMar>
          </w:tcPr>
          <w:p>
            <w:pPr>
              <w:jc w:val="left"/>
            </w:pPr>
            <w:r>
              <w:rPr>
                <w:b w:val="false"/>
                <w:bCs w:val="false"/>
                <w:color w:val="000000"/>
                <w:sz w:val="19"/>
                <w:szCs w:val="19"/>
              </w:rPr>
              <w:t xml:space="preserve">3. Retrieval</w:t>
            </w:r>
          </w:p>
        </w:tc>
        <w:tc>
          <w:tcPr>
            <w:tcW w:type="dxa" w:w="5200"/>
            <w:shd w:fill="EAF2F1" w:val="clear"/>
            <w:tcMar>
              <w:top w:type="dxa" w:w="80"/>
              <w:left w:type="dxa" w:w="100"/>
              <w:bottom w:type="dxa" w:w="80"/>
              <w:right w:type="dxa" w:w="100"/>
            </w:tcMar>
          </w:tcPr>
          <w:p>
            <w:pPr>
              <w:jc w:val="left"/>
            </w:pPr>
            <w:r>
              <w:rPr>
                <w:b w:val="false"/>
                <w:bCs w:val="false"/>
                <w:color w:val="000000"/>
                <w:sz w:val="19"/>
                <w:szCs w:val="19"/>
              </w:rPr>
              <w:t xml:space="preserve">Governing benefit clauses, policy wording and the IRDAI non-payables list are retrieved</w:t>
            </w:r>
          </w:p>
        </w:tc>
        <w:tc>
          <w:tcPr>
            <w:tcW w:type="dxa" w:w="2400"/>
            <w:shd w:fill="EAF2F1" w:val="clear"/>
            <w:tcMar>
              <w:top w:type="dxa" w:w="80"/>
              <w:left w:type="dxa" w:w="100"/>
              <w:bottom w:type="dxa" w:w="80"/>
              <w:right w:type="dxa" w:w="100"/>
            </w:tcMar>
          </w:tcPr>
          <w:p>
            <w:pPr>
              <w:jc w:val="left"/>
            </w:pPr>
            <w:r>
              <w:rPr>
                <w:b w:val="false"/>
                <w:bCs w:val="false"/>
                <w:color w:val="000000"/>
                <w:sz w:val="19"/>
                <w:szCs w:val="19"/>
              </w:rPr>
              <w:t xml:space="preserve">Member 2</w:t>
            </w:r>
          </w:p>
        </w:tc>
      </w:tr>
      <w:tr>
        <w:tc>
          <w:tcPr>
            <w:tcW w:type="dxa" w:w="2200"/>
            <w:shd w:fill="FFFFFF" w:val="clear"/>
            <w:tcMar>
              <w:top w:type="dxa" w:w="80"/>
              <w:left w:type="dxa" w:w="100"/>
              <w:bottom w:type="dxa" w:w="80"/>
              <w:right w:type="dxa" w:w="100"/>
            </w:tcMar>
          </w:tcPr>
          <w:p>
            <w:pPr>
              <w:jc w:val="left"/>
            </w:pPr>
            <w:r>
              <w:rPr>
                <w:b w:val="false"/>
                <w:bCs w:val="false"/>
                <w:color w:val="000000"/>
                <w:sz w:val="19"/>
                <w:szCs w:val="19"/>
              </w:rPr>
              <w:t xml:space="preserve">4. Tool calls</w:t>
            </w:r>
          </w:p>
        </w:tc>
        <w:tc>
          <w:tcPr>
            <w:tcW w:type="dxa" w:w="5200"/>
            <w:shd w:fill="FFFFFF" w:val="clear"/>
            <w:tcMar>
              <w:top w:type="dxa" w:w="80"/>
              <w:left w:type="dxa" w:w="100"/>
              <w:bottom w:type="dxa" w:w="80"/>
              <w:right w:type="dxa" w:w="100"/>
            </w:tcMar>
          </w:tcPr>
          <w:p>
            <w:pPr>
              <w:jc w:val="left"/>
            </w:pPr>
            <w:r>
              <w:rPr>
                <w:b w:val="false"/>
                <w:bCs w:val="false"/>
                <w:color w:val="000000"/>
                <w:sz w:val="19"/>
                <w:szCs w:val="19"/>
              </w:rPr>
              <w:t xml:space="preserve">Mock policy admin / claims APIs checked — policy status, waiting period elapsed, sub-limit balance</w:t>
            </w:r>
          </w:p>
        </w:tc>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Member 2</w:t>
            </w:r>
          </w:p>
        </w:tc>
      </w:tr>
      <w:tr>
        <w:tc>
          <w:tcPr>
            <w:tcW w:type="dxa" w:w="2200"/>
            <w:shd w:fill="EAF2F1" w:val="clear"/>
            <w:tcMar>
              <w:top w:type="dxa" w:w="80"/>
              <w:left w:type="dxa" w:w="100"/>
              <w:bottom w:type="dxa" w:w="80"/>
              <w:right w:type="dxa" w:w="100"/>
            </w:tcMar>
          </w:tcPr>
          <w:p>
            <w:pPr>
              <w:jc w:val="left"/>
            </w:pPr>
            <w:r>
              <w:rPr>
                <w:b w:val="false"/>
                <w:bCs w:val="false"/>
                <w:color w:val="000000"/>
                <w:sz w:val="19"/>
                <w:szCs w:val="19"/>
              </w:rPr>
              <w:t xml:space="preserve">5. Policy-aware reasoning</w:t>
            </w:r>
          </w:p>
        </w:tc>
        <w:tc>
          <w:tcPr>
            <w:tcW w:type="dxa" w:w="5200"/>
            <w:shd w:fill="EAF2F1" w:val="clear"/>
            <w:tcMar>
              <w:top w:type="dxa" w:w="80"/>
              <w:left w:type="dxa" w:w="100"/>
              <w:bottom w:type="dxa" w:w="80"/>
              <w:right w:type="dxa" w:w="100"/>
            </w:tcMar>
          </w:tcPr>
          <w:p>
            <w:pPr>
              <w:jc w:val="left"/>
            </w:pPr>
            <w:r>
              <w:rPr>
                <w:b w:val="false"/>
                <w:bCs w:val="false"/>
                <w:color w:val="000000"/>
                <w:sz w:val="19"/>
                <w:szCs w:val="19"/>
              </w:rPr>
              <w:t xml:space="preserve">Agent applies rules, computes any capped/deducted amount, drafts Authorise / Query / Deny with citations</w:t>
            </w:r>
          </w:p>
        </w:tc>
        <w:tc>
          <w:tcPr>
            <w:tcW w:type="dxa" w:w="2400"/>
            <w:shd w:fill="EAF2F1" w:val="clear"/>
            <w:tcMar>
              <w:top w:type="dxa" w:w="80"/>
              <w:left w:type="dxa" w:w="100"/>
              <w:bottom w:type="dxa" w:w="80"/>
              <w:right w:type="dxa" w:w="100"/>
            </w:tcMar>
          </w:tcPr>
          <w:p>
            <w:pPr>
              <w:jc w:val="left"/>
            </w:pPr>
            <w:r>
              <w:rPr>
                <w:b w:val="false"/>
                <w:bCs w:val="false"/>
                <w:color w:val="000000"/>
                <w:sz w:val="19"/>
                <w:szCs w:val="19"/>
              </w:rPr>
              <w:t xml:space="preserve">Member 2</w:t>
            </w:r>
          </w:p>
        </w:tc>
      </w:tr>
      <w:tr>
        <w:tc>
          <w:tcPr>
            <w:tcW w:type="dxa" w:w="2200"/>
            <w:shd w:fill="FFFFFF" w:val="clear"/>
            <w:tcMar>
              <w:top w:type="dxa" w:w="80"/>
              <w:left w:type="dxa" w:w="100"/>
              <w:bottom w:type="dxa" w:w="80"/>
              <w:right w:type="dxa" w:w="100"/>
            </w:tcMar>
          </w:tcPr>
          <w:p>
            <w:pPr>
              <w:jc w:val="left"/>
            </w:pPr>
            <w:r>
              <w:rPr>
                <w:b w:val="false"/>
                <w:bCs w:val="false"/>
                <w:color w:val="000000"/>
                <w:sz w:val="19"/>
                <w:szCs w:val="19"/>
              </w:rPr>
              <w:t xml:space="preserve">6. Escalation router</w:t>
            </w:r>
          </w:p>
        </w:tc>
        <w:tc>
          <w:tcPr>
            <w:tcW w:type="dxa" w:w="5200"/>
            <w:shd w:fill="FFFFFF" w:val="clear"/>
            <w:tcMar>
              <w:top w:type="dxa" w:w="80"/>
              <w:left w:type="dxa" w:w="100"/>
              <w:bottom w:type="dxa" w:w="80"/>
              <w:right w:type="dxa" w:w="100"/>
            </w:tcMar>
          </w:tcPr>
          <w:p>
            <w:pPr>
              <w:jc w:val="left"/>
            </w:pPr>
            <w:r>
              <w:rPr>
                <w:b w:val="false"/>
                <w:bCs w:val="false"/>
                <w:color w:val="000000"/>
                <w:sz w:val="19"/>
                <w:szCs w:val="19"/>
              </w:rPr>
              <w:t xml:space="preserve">Low-confidence, high-value or ambiguous cases routed to a human review queue</w:t>
            </w:r>
          </w:p>
        </w:tc>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Member 3</w:t>
            </w:r>
          </w:p>
        </w:tc>
      </w:tr>
      <w:tr>
        <w:tc>
          <w:tcPr>
            <w:tcW w:type="dxa" w:w="2200"/>
            <w:shd w:fill="EAF2F1" w:val="clear"/>
            <w:tcMar>
              <w:top w:type="dxa" w:w="80"/>
              <w:left w:type="dxa" w:w="100"/>
              <w:bottom w:type="dxa" w:w="80"/>
              <w:right w:type="dxa" w:w="100"/>
            </w:tcMar>
          </w:tcPr>
          <w:p>
            <w:pPr>
              <w:jc w:val="left"/>
            </w:pPr>
            <w:r>
              <w:rPr>
                <w:b w:val="false"/>
                <w:bCs w:val="false"/>
                <w:color w:val="000000"/>
                <w:sz w:val="19"/>
                <w:szCs w:val="19"/>
              </w:rPr>
              <w:t xml:space="preserve">7. Immutable audit log</w:t>
            </w:r>
          </w:p>
        </w:tc>
        <w:tc>
          <w:tcPr>
            <w:tcW w:type="dxa" w:w="5200"/>
            <w:shd w:fill="EAF2F1" w:val="clear"/>
            <w:tcMar>
              <w:top w:type="dxa" w:w="80"/>
              <w:left w:type="dxa" w:w="100"/>
              <w:bottom w:type="dxa" w:w="80"/>
              <w:right w:type="dxa" w:w="100"/>
            </w:tcMar>
          </w:tcPr>
          <w:p>
            <w:pPr>
              <w:jc w:val="left"/>
            </w:pPr>
            <w:r>
              <w:rPr>
                <w:b w:val="false"/>
                <w:bCs w:val="false"/>
                <w:color w:val="000000"/>
                <w:sz w:val="19"/>
                <w:szCs w:val="19"/>
              </w:rPr>
              <w:t xml:space="preserve">Inputs, retrieved clauses, computation, decision and any human override are logged</w:t>
            </w:r>
          </w:p>
        </w:tc>
        <w:tc>
          <w:tcPr>
            <w:tcW w:type="dxa" w:w="2400"/>
            <w:shd w:fill="EAF2F1" w:val="clear"/>
            <w:tcMar>
              <w:top w:type="dxa" w:w="80"/>
              <w:left w:type="dxa" w:w="100"/>
              <w:bottom w:type="dxa" w:w="80"/>
              <w:right w:type="dxa" w:w="100"/>
            </w:tcMar>
          </w:tcPr>
          <w:p>
            <w:pPr>
              <w:jc w:val="left"/>
            </w:pPr>
            <w:r>
              <w:rPr>
                <w:b w:val="false"/>
                <w:bCs w:val="false"/>
                <w:color w:val="000000"/>
                <w:sz w:val="19"/>
                <w:szCs w:val="19"/>
              </w:rPr>
              <w:t xml:space="preserve">Member 3</w:t>
            </w:r>
          </w:p>
        </w:tc>
      </w:tr>
      <w:tr>
        <w:tc>
          <w:tcPr>
            <w:tcW w:type="dxa" w:w="2200"/>
            <w:shd w:fill="FFFFFF" w:val="clear"/>
            <w:tcMar>
              <w:top w:type="dxa" w:w="80"/>
              <w:left w:type="dxa" w:w="100"/>
              <w:bottom w:type="dxa" w:w="80"/>
              <w:right w:type="dxa" w:w="100"/>
            </w:tcMar>
          </w:tcPr>
          <w:p>
            <w:pPr>
              <w:jc w:val="left"/>
            </w:pPr>
            <w:r>
              <w:rPr>
                <w:b w:val="false"/>
                <w:bCs w:val="false"/>
                <w:color w:val="000000"/>
                <w:sz w:val="19"/>
                <w:szCs w:val="19"/>
              </w:rPr>
              <w:t xml:space="preserve">8. Evaluation &amp; demo</w:t>
            </w:r>
          </w:p>
        </w:tc>
        <w:tc>
          <w:tcPr>
            <w:tcW w:type="dxa" w:w="5200"/>
            <w:shd w:fill="FFFFFF" w:val="clear"/>
            <w:tcMar>
              <w:top w:type="dxa" w:w="80"/>
              <w:left w:type="dxa" w:w="100"/>
              <w:bottom w:type="dxa" w:w="80"/>
              <w:right w:type="dxa" w:w="100"/>
            </w:tcMar>
          </w:tcPr>
          <w:p>
            <w:pPr>
              <w:jc w:val="left"/>
            </w:pPr>
            <w:r>
              <w:rPr>
                <w:b w:val="false"/>
                <w:bCs w:val="false"/>
                <w:color w:val="000000"/>
                <w:sz w:val="19"/>
                <w:szCs w:val="19"/>
              </w:rPr>
              <w:t xml:space="preserve">Golden-set scoring, adversarial testing, latency vs the 1-hour clock, live demo</w:t>
            </w:r>
          </w:p>
        </w:tc>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Member 3 (all contribute cases)</w:t>
            </w:r>
          </w:p>
        </w:tc>
      </w:tr>
    </w:tbl>
    <w:p>
      <w:pPr>
        <w:spacing w:after="80"/>
      </w:pPr>
    </w:p>
    <w:p>
      <w:pPr>
        <w:pStyle w:val="Heading2"/>
        <w:spacing w:after="120" w:before="280"/>
      </w:pPr>
      <w:r>
        <w:rPr>
          <w:b/>
          <w:bCs/>
          <w:color w:val="2E7D6B"/>
          <w:sz w:val="24"/>
          <w:szCs w:val="24"/>
        </w:rPr>
        <w:t xml:space="preserve">Suggested 12-week build sequence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6200"/>
        <w:gridCol w:w="2000"/>
      </w:tblGrid>
      <w:tr>
        <w:trPr>
          <w:tblHeader/>
        </w:trPr>
        <w:tc>
          <w:tcPr>
            <w:tcW w:type="dxa" w:w="1600"/>
            <w:shd w:fill="1F4E5F" w:val="clear"/>
            <w:tcMar>
              <w:top w:type="dxa" w:w="80"/>
              <w:left w:type="dxa" w:w="100"/>
              <w:bottom w:type="dxa" w:w="80"/>
              <w:right w:type="dxa" w:w="100"/>
            </w:tcMar>
          </w:tcPr>
          <w:p>
            <w:pPr>
              <w:jc w:val="left"/>
            </w:pPr>
            <w:r>
              <w:rPr>
                <w:b/>
                <w:bCs/>
                <w:color w:val="FFFFFF"/>
                <w:sz w:val="19"/>
                <w:szCs w:val="19"/>
              </w:rPr>
              <w:t xml:space="preserve">Weeks</w:t>
            </w:r>
          </w:p>
        </w:tc>
        <w:tc>
          <w:tcPr>
            <w:tcW w:type="dxa" w:w="6200"/>
            <w:shd w:fill="1F4E5F" w:val="clear"/>
            <w:tcMar>
              <w:top w:type="dxa" w:w="80"/>
              <w:left w:type="dxa" w:w="100"/>
              <w:bottom w:type="dxa" w:w="80"/>
              <w:right w:type="dxa" w:w="100"/>
            </w:tcMar>
          </w:tcPr>
          <w:p>
            <w:pPr>
              <w:jc w:val="left"/>
            </w:pPr>
            <w:r>
              <w:rPr>
                <w:b/>
                <w:bCs/>
                <w:color w:val="FFFFFF"/>
                <w:sz w:val="19"/>
                <w:szCs w:val="19"/>
              </w:rPr>
              <w:t xml:space="preserve">Milestone</w:t>
            </w:r>
          </w:p>
        </w:tc>
        <w:tc>
          <w:tcPr>
            <w:tcW w:type="dxa" w:w="2000"/>
            <w:shd w:fill="1F4E5F" w:val="clear"/>
            <w:tcMar>
              <w:top w:type="dxa" w:w="80"/>
              <w:left w:type="dxa" w:w="100"/>
              <w:bottom w:type="dxa" w:w="80"/>
              <w:right w:type="dxa" w:w="100"/>
            </w:tcMar>
          </w:tcPr>
          <w:p>
            <w:pPr>
              <w:jc w:val="left"/>
            </w:pPr>
            <w:r>
              <w:rPr>
                <w:b/>
                <w:bCs/>
                <w:color w:val="FFFFFF"/>
                <w:sz w:val="19"/>
                <w:szCs w:val="19"/>
              </w:rPr>
              <w:t xml:space="preserve">Lead(s)</w:t>
            </w:r>
          </w:p>
        </w:tc>
      </w:tr>
      <w:tr>
        <w:tc>
          <w:tcPr>
            <w:tcW w:type="dxa" w:w="1600"/>
            <w:shd w:fill="EAF2F1" w:val="clear"/>
            <w:tcMar>
              <w:top w:type="dxa" w:w="80"/>
              <w:left w:type="dxa" w:w="100"/>
              <w:bottom w:type="dxa" w:w="80"/>
              <w:right w:type="dxa" w:w="100"/>
            </w:tcMar>
          </w:tcPr>
          <w:p>
            <w:pPr>
              <w:jc w:val="left"/>
            </w:pPr>
            <w:r>
              <w:rPr>
                <w:b w:val="false"/>
                <w:bCs w:val="false"/>
                <w:color w:val="000000"/>
                <w:sz w:val="19"/>
                <w:szCs w:val="19"/>
              </w:rPr>
              <w:t xml:space="preserve">1–2</w:t>
            </w:r>
          </w:p>
        </w:tc>
        <w:tc>
          <w:tcPr>
            <w:tcW w:type="dxa" w:w="6200"/>
            <w:shd w:fill="EAF2F1" w:val="clear"/>
            <w:tcMar>
              <w:top w:type="dxa" w:w="80"/>
              <w:left w:type="dxa" w:w="100"/>
              <w:bottom w:type="dxa" w:w="80"/>
              <w:right w:type="dxa" w:w="100"/>
            </w:tcMar>
          </w:tcPr>
          <w:p>
            <w:pPr>
              <w:jc w:val="left"/>
            </w:pPr>
            <w:r>
              <w:rPr>
                <w:b w:val="false"/>
                <w:bCs w:val="false"/>
                <w:color w:val="000000"/>
                <w:sz w:val="19"/>
                <w:szCs w:val="19"/>
              </w:rPr>
              <w:t xml:space="preserve">Synthetic data corpus + schema design</w:t>
            </w:r>
          </w:p>
        </w:tc>
        <w:tc>
          <w:tcPr>
            <w:tcW w:type="dxa" w:w="2000"/>
            <w:shd w:fill="EAF2F1" w:val="clear"/>
            <w:tcMar>
              <w:top w:type="dxa" w:w="80"/>
              <w:left w:type="dxa" w:w="100"/>
              <w:bottom w:type="dxa" w:w="80"/>
              <w:right w:type="dxa" w:w="100"/>
            </w:tcMar>
          </w:tcPr>
          <w:p>
            <w:pPr>
              <w:jc w:val="left"/>
            </w:pPr>
            <w:r>
              <w:rPr>
                <w:b w:val="false"/>
                <w:bCs w:val="false"/>
                <w:color w:val="000000"/>
                <w:sz w:val="19"/>
                <w:szCs w:val="19"/>
              </w:rPr>
              <w:t xml:space="preserve">Member 1 (supported by all)</w:t>
            </w:r>
          </w:p>
        </w:tc>
      </w:tr>
      <w:tr>
        <w:tc>
          <w:tcPr>
            <w:tcW w:type="dxa" w:w="1600"/>
            <w:shd w:fill="FFFFFF" w:val="clear"/>
            <w:tcMar>
              <w:top w:type="dxa" w:w="80"/>
              <w:left w:type="dxa" w:w="100"/>
              <w:bottom w:type="dxa" w:w="80"/>
              <w:right w:type="dxa" w:w="100"/>
            </w:tcMar>
          </w:tcPr>
          <w:p>
            <w:pPr>
              <w:jc w:val="left"/>
            </w:pPr>
            <w:r>
              <w:rPr>
                <w:b w:val="false"/>
                <w:bCs w:val="false"/>
                <w:color w:val="000000"/>
                <w:sz w:val="19"/>
                <w:szCs w:val="19"/>
              </w:rPr>
              <w:t xml:space="preserve">3–4</w:t>
            </w:r>
          </w:p>
        </w:tc>
        <w:tc>
          <w:tcPr>
            <w:tcW w:type="dxa" w:w="6200"/>
            <w:shd w:fill="FFFFFF" w:val="clear"/>
            <w:tcMar>
              <w:top w:type="dxa" w:w="80"/>
              <w:left w:type="dxa" w:w="100"/>
              <w:bottom w:type="dxa" w:w="80"/>
              <w:right w:type="dxa" w:w="100"/>
            </w:tcMar>
          </w:tcPr>
          <w:p>
            <w:pPr>
              <w:jc w:val="left"/>
            </w:pPr>
            <w:r>
              <w:rPr>
                <w:b w:val="false"/>
                <w:bCs w:val="false"/>
                <w:color w:val="000000"/>
                <w:sz w:val="19"/>
                <w:szCs w:val="19"/>
              </w:rPr>
              <w:t xml:space="preserve">Extraction pipeline + retrieval baseline</w:t>
            </w:r>
          </w:p>
        </w:tc>
        <w:tc>
          <w:tcPr>
            <w:tcW w:type="dxa" w:w="2000"/>
            <w:shd w:fill="FFFFFF" w:val="clear"/>
            <w:tcMar>
              <w:top w:type="dxa" w:w="80"/>
              <w:left w:type="dxa" w:w="100"/>
              <w:bottom w:type="dxa" w:w="80"/>
              <w:right w:type="dxa" w:w="100"/>
            </w:tcMar>
          </w:tcPr>
          <w:p>
            <w:pPr>
              <w:jc w:val="left"/>
            </w:pPr>
            <w:r>
              <w:rPr>
                <w:b w:val="false"/>
                <w:bCs w:val="false"/>
                <w:color w:val="000000"/>
                <w:sz w:val="19"/>
                <w:szCs w:val="19"/>
              </w:rPr>
              <w:t xml:space="preserve">Member 1 &amp; Member 2</w:t>
            </w:r>
          </w:p>
        </w:tc>
      </w:tr>
      <w:tr>
        <w:tc>
          <w:tcPr>
            <w:tcW w:type="dxa" w:w="1600"/>
            <w:shd w:fill="EAF2F1" w:val="clear"/>
            <w:tcMar>
              <w:top w:type="dxa" w:w="80"/>
              <w:left w:type="dxa" w:w="100"/>
              <w:bottom w:type="dxa" w:w="80"/>
              <w:right w:type="dxa" w:w="100"/>
            </w:tcMar>
          </w:tcPr>
          <w:p>
            <w:pPr>
              <w:jc w:val="left"/>
            </w:pPr>
            <w:r>
              <w:rPr>
                <w:b w:val="false"/>
                <w:bCs w:val="false"/>
                <w:color w:val="000000"/>
                <w:sz w:val="19"/>
                <w:szCs w:val="19"/>
              </w:rPr>
              <w:t xml:space="preserve">5–6</w:t>
            </w:r>
          </w:p>
        </w:tc>
        <w:tc>
          <w:tcPr>
            <w:tcW w:type="dxa" w:w="6200"/>
            <w:shd w:fill="EAF2F1" w:val="clear"/>
            <w:tcMar>
              <w:top w:type="dxa" w:w="80"/>
              <w:left w:type="dxa" w:w="100"/>
              <w:bottom w:type="dxa" w:w="80"/>
              <w:right w:type="dxa" w:w="100"/>
            </w:tcMar>
          </w:tcPr>
          <w:p>
            <w:pPr>
              <w:jc w:val="left"/>
            </w:pPr>
            <w:r>
              <w:rPr>
                <w:b w:val="false"/>
                <w:bCs w:val="false"/>
                <w:color w:val="000000"/>
                <w:sz w:val="19"/>
                <w:szCs w:val="19"/>
              </w:rPr>
              <w:t xml:space="preserve">Rules engine + tool calling against mock systems</w:t>
            </w:r>
          </w:p>
        </w:tc>
        <w:tc>
          <w:tcPr>
            <w:tcW w:type="dxa" w:w="2000"/>
            <w:shd w:fill="EAF2F1" w:val="clear"/>
            <w:tcMar>
              <w:top w:type="dxa" w:w="80"/>
              <w:left w:type="dxa" w:w="100"/>
              <w:bottom w:type="dxa" w:w="80"/>
              <w:right w:type="dxa" w:w="100"/>
            </w:tcMar>
          </w:tcPr>
          <w:p>
            <w:pPr>
              <w:jc w:val="left"/>
            </w:pPr>
            <w:r>
              <w:rPr>
                <w:b w:val="false"/>
                <w:bCs w:val="false"/>
                <w:color w:val="000000"/>
                <w:sz w:val="19"/>
                <w:szCs w:val="19"/>
              </w:rPr>
              <w:t xml:space="preserve">Member 2</w:t>
            </w:r>
          </w:p>
        </w:tc>
      </w:tr>
      <w:tr>
        <w:tc>
          <w:tcPr>
            <w:tcW w:type="dxa" w:w="1600"/>
            <w:shd w:fill="FFFFFF" w:val="clear"/>
            <w:tcMar>
              <w:top w:type="dxa" w:w="80"/>
              <w:left w:type="dxa" w:w="100"/>
              <w:bottom w:type="dxa" w:w="80"/>
              <w:right w:type="dxa" w:w="100"/>
            </w:tcMar>
          </w:tcPr>
          <w:p>
            <w:pPr>
              <w:jc w:val="left"/>
            </w:pPr>
            <w:r>
              <w:rPr>
                <w:b w:val="false"/>
                <w:bCs w:val="false"/>
                <w:color w:val="000000"/>
                <w:sz w:val="19"/>
                <w:szCs w:val="19"/>
              </w:rPr>
              <w:t xml:space="preserve">7–8</w:t>
            </w:r>
          </w:p>
        </w:tc>
        <w:tc>
          <w:tcPr>
            <w:tcW w:type="dxa" w:w="6200"/>
            <w:shd w:fill="FFFFFF" w:val="clear"/>
            <w:tcMar>
              <w:top w:type="dxa" w:w="80"/>
              <w:left w:type="dxa" w:w="100"/>
              <w:bottom w:type="dxa" w:w="80"/>
              <w:right w:type="dxa" w:w="100"/>
            </w:tcMar>
          </w:tcPr>
          <w:p>
            <w:pPr>
              <w:jc w:val="left"/>
            </w:pPr>
            <w:r>
              <w:rPr>
                <w:b w:val="false"/>
                <w:bCs w:val="false"/>
                <w:color w:val="000000"/>
                <w:sz w:val="19"/>
                <w:szCs w:val="19"/>
              </w:rPr>
              <w:t xml:space="preserve">Full agent orchestration (integration week — all three together)</w:t>
            </w:r>
          </w:p>
        </w:tc>
        <w:tc>
          <w:tcPr>
            <w:tcW w:type="dxa" w:w="2000"/>
            <w:shd w:fill="FFFFFF" w:val="clear"/>
            <w:tcMar>
              <w:top w:type="dxa" w:w="80"/>
              <w:left w:type="dxa" w:w="100"/>
              <w:bottom w:type="dxa" w:w="80"/>
              <w:right w:type="dxa" w:w="100"/>
            </w:tcMar>
          </w:tcPr>
          <w:p>
            <w:pPr>
              <w:jc w:val="left"/>
            </w:pPr>
            <w:r>
              <w:rPr>
                <w:b w:val="false"/>
                <w:bCs w:val="false"/>
                <w:color w:val="000000"/>
                <w:sz w:val="19"/>
                <w:szCs w:val="19"/>
              </w:rPr>
              <w:t xml:space="preserve">All three</w:t>
            </w:r>
          </w:p>
        </w:tc>
      </w:tr>
      <w:tr>
        <w:tc>
          <w:tcPr>
            <w:tcW w:type="dxa" w:w="1600"/>
            <w:shd w:fill="EAF2F1" w:val="clear"/>
            <w:tcMar>
              <w:top w:type="dxa" w:w="80"/>
              <w:left w:type="dxa" w:w="100"/>
              <w:bottom w:type="dxa" w:w="80"/>
              <w:right w:type="dxa" w:w="100"/>
            </w:tcMar>
          </w:tcPr>
          <w:p>
            <w:pPr>
              <w:jc w:val="left"/>
            </w:pPr>
            <w:r>
              <w:rPr>
                <w:b w:val="false"/>
                <w:bCs w:val="false"/>
                <w:color w:val="000000"/>
                <w:sz w:val="19"/>
                <w:szCs w:val="19"/>
              </w:rPr>
              <w:t xml:space="preserve">9–10</w:t>
            </w:r>
          </w:p>
        </w:tc>
        <w:tc>
          <w:tcPr>
            <w:tcW w:type="dxa" w:w="6200"/>
            <w:shd w:fill="EAF2F1" w:val="clear"/>
            <w:tcMar>
              <w:top w:type="dxa" w:w="80"/>
              <w:left w:type="dxa" w:w="100"/>
              <w:bottom w:type="dxa" w:w="80"/>
              <w:right w:type="dxa" w:w="100"/>
            </w:tcMar>
          </w:tcPr>
          <w:p>
            <w:pPr>
              <w:jc w:val="left"/>
            </w:pPr>
            <w:r>
              <w:rPr>
                <w:b w:val="false"/>
                <w:bCs w:val="false"/>
                <w:color w:val="000000"/>
                <w:sz w:val="19"/>
                <w:szCs w:val="19"/>
              </w:rPr>
              <w:t xml:space="preserve">Evaluation harness + adversarial case set + escalation router/audit log</w:t>
            </w:r>
          </w:p>
        </w:tc>
        <w:tc>
          <w:tcPr>
            <w:tcW w:type="dxa" w:w="2000"/>
            <w:shd w:fill="EAF2F1" w:val="clear"/>
            <w:tcMar>
              <w:top w:type="dxa" w:w="80"/>
              <w:left w:type="dxa" w:w="100"/>
              <w:bottom w:type="dxa" w:w="80"/>
              <w:right w:type="dxa" w:w="100"/>
            </w:tcMar>
          </w:tcPr>
          <w:p>
            <w:pPr>
              <w:jc w:val="left"/>
            </w:pPr>
            <w:r>
              <w:rPr>
                <w:b w:val="false"/>
                <w:bCs w:val="false"/>
                <w:color w:val="000000"/>
                <w:sz w:val="19"/>
                <w:szCs w:val="19"/>
              </w:rPr>
              <w:t xml:space="preserve">Member 3 (Member 2 supports agent fixes)</w:t>
            </w:r>
          </w:p>
        </w:tc>
      </w:tr>
      <w:tr>
        <w:tc>
          <w:tcPr>
            <w:tcW w:type="dxa" w:w="1600"/>
            <w:shd w:fill="FFFFFF" w:val="clear"/>
            <w:tcMar>
              <w:top w:type="dxa" w:w="80"/>
              <w:left w:type="dxa" w:w="100"/>
              <w:bottom w:type="dxa" w:w="80"/>
              <w:right w:type="dxa" w:w="100"/>
            </w:tcMar>
          </w:tcPr>
          <w:p>
            <w:pPr>
              <w:jc w:val="left"/>
            </w:pPr>
            <w:r>
              <w:rPr>
                <w:b w:val="false"/>
                <w:bCs w:val="false"/>
                <w:color w:val="000000"/>
                <w:sz w:val="19"/>
                <w:szCs w:val="19"/>
              </w:rPr>
              <w:t xml:space="preserve">11–12</w:t>
            </w:r>
          </w:p>
        </w:tc>
        <w:tc>
          <w:tcPr>
            <w:tcW w:type="dxa" w:w="6200"/>
            <w:shd w:fill="FFFFFF" w:val="clear"/>
            <w:tcMar>
              <w:top w:type="dxa" w:w="80"/>
              <w:left w:type="dxa" w:w="100"/>
              <w:bottom w:type="dxa" w:w="80"/>
              <w:right w:type="dxa" w:w="100"/>
            </w:tcMar>
          </w:tcPr>
          <w:p>
            <w:pPr>
              <w:jc w:val="left"/>
            </w:pPr>
            <w:r>
              <w:rPr>
                <w:b w:val="false"/>
                <w:bCs w:val="false"/>
                <w:color w:val="000000"/>
                <w:sz w:val="19"/>
                <w:szCs w:val="19"/>
              </w:rPr>
              <w:t xml:space="preserve">Hardening, deployment note, demo, final report</w:t>
            </w:r>
          </w:p>
        </w:tc>
        <w:tc>
          <w:tcPr>
            <w:tcW w:type="dxa" w:w="2000"/>
            <w:shd w:fill="FFFFFF" w:val="clear"/>
            <w:tcMar>
              <w:top w:type="dxa" w:w="80"/>
              <w:left w:type="dxa" w:w="100"/>
              <w:bottom w:type="dxa" w:w="80"/>
              <w:right w:type="dxa" w:w="100"/>
            </w:tcMar>
          </w:tcPr>
          <w:p>
            <w:pPr>
              <w:jc w:val="left"/>
            </w:pPr>
            <w:r>
              <w:rPr>
                <w:b w:val="false"/>
                <w:bCs w:val="false"/>
                <w:color w:val="000000"/>
                <w:sz w:val="19"/>
                <w:szCs w:val="19"/>
              </w:rPr>
              <w:t xml:space="preserve">All three</w:t>
            </w:r>
          </w:p>
        </w:tc>
      </w:tr>
    </w:tbl>
    <w:p>
      <w:pPr>
        <w:pStyle w:val="Heading1"/>
        <w:pBdr>
          <w:bottom w:val="single" w:color="1F4E5F" w:sz="8" w:space="4"/>
        </w:pBdr>
        <w:spacing w:after="160" w:before="360"/>
      </w:pPr>
      <w:r>
        <w:rPr>
          <w:b/>
          <w:bCs/>
          <w:color w:val="1F4E5F"/>
          <w:sz w:val="30"/>
          <w:szCs w:val="30"/>
        </w:rPr>
        <w:t xml:space="preserve">6. Member-wise Implementation Plans</w:t>
      </w:r>
    </w:p>
    <w:p>
      <w:pPr>
        <w:pStyle w:val="Heading2"/>
        <w:spacing w:after="120" w:before="280"/>
      </w:pPr>
      <w:r>
        <w:rPr>
          <w:b/>
          <w:bCs/>
          <w:color w:val="2E7D6B"/>
          <w:sz w:val="24"/>
          <w:szCs w:val="24"/>
        </w:rPr>
        <w:t xml:space="preserve">6.1 Member 1 — Data &amp; Extraction Engineer</w:t>
      </w:r>
    </w:p>
    <w:p>
      <w:pPr>
        <w:spacing w:after="140" w:line="276"/>
      </w:pPr>
      <w:r>
        <w:rPr>
          <w:sz w:val="21"/>
          <w:szCs w:val="21"/>
        </w:rPr>
        <w:t xml:space="preserve">Owns everything upstream of retrieval: getting real-world-shaped, synthetic, defensible input into a clean structured record.</w:t>
      </w:r>
    </w:p>
    <w:p>
      <w:pPr>
        <w:spacing w:after="80" w:before="200"/>
      </w:pPr>
      <w:r>
        <w:rPr>
          <w:b/>
          <w:bCs/>
          <w:color w:val="333333"/>
          <w:sz w:val="22"/>
          <w:szCs w:val="22"/>
        </w:rPr>
        <w:t xml:space="preserve">Responsibilities</w:t>
      </w:r>
    </w:p>
    <w:p>
      <w:pPr>
        <w:pStyle w:val="ListParagraph"/>
        <w:numPr>
          <w:ilvl w:val="0"/>
          <w:numId w:val="3"/>
        </w:numPr>
        <w:spacing w:after="60" w:line="270"/>
      </w:pPr>
      <w:r>
        <w:rPr>
          <w:sz w:val="21"/>
          <w:szCs w:val="21"/>
        </w:rPr>
        <w:t xml:space="preserve">Design and generate a synthetic corpus: hospital pre-auth requests, policy wordings, benefit tables and the IRDAI non-payables list. Document the generation method in full — no real policyholder data, ever.</w:t>
      </w:r>
    </w:p>
    <w:p>
      <w:pPr>
        <w:pStyle w:val="ListParagraph"/>
        <w:numPr>
          <w:ilvl w:val="0"/>
          <w:numId w:val="3"/>
        </w:numPr>
        <w:spacing w:after="60" w:line="270"/>
      </w:pPr>
      <w:r>
        <w:rPr>
          <w:sz w:val="21"/>
          <w:szCs w:val="21"/>
        </w:rPr>
        <w:t xml:space="preserve">Define the Pydantic schemas: PreAuthRequest, PolicyBenefit, and the shared DecisionRecord contract used by Member 2 and Member 3.</w:t>
      </w:r>
    </w:p>
    <w:p>
      <w:pPr>
        <w:pStyle w:val="ListParagraph"/>
        <w:numPr>
          <w:ilvl w:val="0"/>
          <w:numId w:val="3"/>
        </w:numPr>
        <w:spacing w:after="60" w:line="270"/>
      </w:pPr>
      <w:r>
        <w:rPr>
          <w:sz w:val="21"/>
          <w:szCs w:val="21"/>
        </w:rPr>
        <w:t xml:space="preserve">Build multi-format ingestion: text PDFs, scanned/illegible images (OCR), and NHCX/FHIR-style JSON.</w:t>
      </w:r>
    </w:p>
    <w:p>
      <w:pPr>
        <w:pStyle w:val="ListParagraph"/>
        <w:numPr>
          <w:ilvl w:val="0"/>
          <w:numId w:val="3"/>
        </w:numPr>
        <w:spacing w:after="60" w:line="270"/>
      </w:pPr>
      <w:r>
        <w:rPr>
          <w:sz w:val="21"/>
          <w:szCs w:val="21"/>
        </w:rPr>
        <w:t xml:space="preserve">Build the LLM-assisted structured extraction step, validated against schema, with graceful handling of malformed or partially illegible input.</w:t>
      </w:r>
    </w:p>
    <w:p>
      <w:pPr>
        <w:pStyle w:val="ListParagraph"/>
        <w:numPr>
          <w:ilvl w:val="0"/>
          <w:numId w:val="3"/>
        </w:numPr>
        <w:spacing w:after="60" w:line="270"/>
      </w:pPr>
      <w:r>
        <w:rPr>
          <w:sz w:val="21"/>
          <w:szCs w:val="21"/>
        </w:rPr>
        <w:t xml:space="preserve">Measure and report field-level precision/recall on the golden test set (extraction-accuracy dimension of the rubric).</w:t>
      </w:r>
    </w:p>
    <w:p>
      <w:pPr>
        <w:spacing w:after="80" w:before="200"/>
      </w:pPr>
      <w:r>
        <w:rPr>
          <w:b/>
          <w:bCs/>
          <w:color w:val="333333"/>
          <w:sz w:val="22"/>
          <w:szCs w:val="22"/>
        </w:rPr>
        <w:t xml:space="preserve">Weekly plan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3100"/>
      </w:tblGrid>
      <w:tr>
        <w:trPr>
          <w:tblHeader/>
        </w:trPr>
        <w:tc>
          <w:tcPr>
            <w:tcW w:type="dxa" w:w="900"/>
            <w:shd w:fill="1F4E5F" w:val="clear"/>
            <w:tcMar>
              <w:top w:type="dxa" w:w="80"/>
              <w:left w:type="dxa" w:w="100"/>
              <w:bottom w:type="dxa" w:w="80"/>
              <w:right w:type="dxa" w:w="100"/>
            </w:tcMar>
          </w:tcPr>
          <w:p>
            <w:pPr>
              <w:jc w:val="left"/>
            </w:pPr>
            <w:r>
              <w:rPr>
                <w:b/>
                <w:bCs/>
                <w:color w:val="FFFFFF"/>
                <w:sz w:val="19"/>
                <w:szCs w:val="19"/>
              </w:rPr>
              <w:t xml:space="preserve">Week</w:t>
            </w:r>
          </w:p>
        </w:tc>
        <w:tc>
          <w:tcPr>
            <w:tcW w:type="dxa" w:w="5800"/>
            <w:shd w:fill="1F4E5F" w:val="clear"/>
            <w:tcMar>
              <w:top w:type="dxa" w:w="80"/>
              <w:left w:type="dxa" w:w="100"/>
              <w:bottom w:type="dxa" w:w="80"/>
              <w:right w:type="dxa" w:w="100"/>
            </w:tcMar>
          </w:tcPr>
          <w:p>
            <w:pPr>
              <w:jc w:val="left"/>
            </w:pPr>
            <w:r>
              <w:rPr>
                <w:b/>
                <w:bCs/>
                <w:color w:val="FFFFFF"/>
                <w:sz w:val="19"/>
                <w:szCs w:val="19"/>
              </w:rPr>
              <w:t xml:space="preserve">Task</w:t>
            </w:r>
          </w:p>
        </w:tc>
        <w:tc>
          <w:tcPr>
            <w:tcW w:type="dxa" w:w="3100"/>
            <w:shd w:fill="1F4E5F" w:val="clear"/>
            <w:tcMar>
              <w:top w:type="dxa" w:w="80"/>
              <w:left w:type="dxa" w:w="100"/>
              <w:bottom w:type="dxa" w:w="80"/>
              <w:right w:type="dxa" w:w="100"/>
            </w:tcMar>
          </w:tcPr>
          <w:p>
            <w:pPr>
              <w:jc w:val="left"/>
            </w:pPr>
            <w:r>
              <w:rPr>
                <w:b/>
                <w:bCs/>
                <w:color w:val="FFFFFF"/>
                <w:sz w:val="19"/>
                <w:szCs w:val="19"/>
              </w:rPr>
              <w:t xml:space="preserve">Deliverable</w:t>
            </w:r>
          </w:p>
        </w:tc>
      </w:tr>
      <w:tr>
        <w:tc>
          <w:tcPr>
            <w:tcW w:type="dxa" w:w="900"/>
            <w:shd w:fill="EAF2F1" w:val="clear"/>
            <w:tcMar>
              <w:top w:type="dxa" w:w="80"/>
              <w:left w:type="dxa" w:w="100"/>
              <w:bottom w:type="dxa" w:w="80"/>
              <w:right w:type="dxa" w:w="100"/>
            </w:tcMar>
          </w:tcPr>
          <w:p>
            <w:pPr>
              <w:jc w:val="left"/>
            </w:pPr>
            <w:r>
              <w:rPr>
                <w:b w:val="false"/>
                <w:bCs w:val="false"/>
                <w:color w:val="000000"/>
                <w:sz w:val="19"/>
                <w:szCs w:val="19"/>
              </w:rPr>
              <w:t xml:space="preserve">1</w:t>
            </w:r>
          </w:p>
        </w:tc>
        <w:tc>
          <w:tcPr>
            <w:tcW w:type="dxa" w:w="5800"/>
            <w:shd w:fill="EAF2F1" w:val="clear"/>
            <w:tcMar>
              <w:top w:type="dxa" w:w="80"/>
              <w:left w:type="dxa" w:w="100"/>
              <w:bottom w:type="dxa" w:w="80"/>
              <w:right w:type="dxa" w:w="100"/>
            </w:tcMar>
          </w:tcPr>
          <w:p>
            <w:pPr>
              <w:jc w:val="left"/>
            </w:pPr>
            <w:r>
              <w:rPr>
                <w:b w:val="false"/>
                <w:bCs w:val="false"/>
                <w:color w:val="000000"/>
                <w:sz w:val="19"/>
                <w:szCs w:val="19"/>
              </w:rPr>
              <w:t xml:space="preserve">Study NHCX FHIR claim-exchange structure; draft PreAuthRequest schema</w:t>
            </w:r>
          </w:p>
        </w:tc>
        <w:tc>
          <w:tcPr>
            <w:tcW w:type="dxa" w:w="3100"/>
            <w:shd w:fill="EAF2F1" w:val="clear"/>
            <w:tcMar>
              <w:top w:type="dxa" w:w="80"/>
              <w:left w:type="dxa" w:w="100"/>
              <w:bottom w:type="dxa" w:w="80"/>
              <w:right w:type="dxa" w:w="100"/>
            </w:tcMar>
          </w:tcPr>
          <w:p>
            <w:pPr>
              <w:jc w:val="left"/>
            </w:pPr>
            <w:r>
              <w:rPr>
                <w:b w:val="false"/>
                <w:bCs w:val="false"/>
                <w:color w:val="000000"/>
                <w:sz w:val="19"/>
                <w:szCs w:val="19"/>
              </w:rPr>
              <w:t xml:space="preserve">Draft schema v0</w:t>
            </w:r>
          </w:p>
        </w:tc>
      </w:tr>
      <w:tr>
        <w:tc>
          <w:tcPr>
            <w:tcW w:type="dxa" w:w="900"/>
            <w:shd w:fill="FFFFFF" w:val="clear"/>
            <w:tcMar>
              <w:top w:type="dxa" w:w="80"/>
              <w:left w:type="dxa" w:w="100"/>
              <w:bottom w:type="dxa" w:w="80"/>
              <w:right w:type="dxa" w:w="100"/>
            </w:tcMar>
          </w:tcPr>
          <w:p>
            <w:pPr>
              <w:jc w:val="left"/>
            </w:pPr>
            <w:r>
              <w:rPr>
                <w:b w:val="false"/>
                <w:bCs w:val="false"/>
                <w:color w:val="000000"/>
                <w:sz w:val="19"/>
                <w:szCs w:val="19"/>
              </w:rPr>
              <w:t xml:space="preserve">2</w:t>
            </w:r>
          </w:p>
        </w:tc>
        <w:tc>
          <w:tcPr>
            <w:tcW w:type="dxa" w:w="5800"/>
            <w:shd w:fill="FFFFFF" w:val="clear"/>
            <w:tcMar>
              <w:top w:type="dxa" w:w="80"/>
              <w:left w:type="dxa" w:w="100"/>
              <w:bottom w:type="dxa" w:w="80"/>
              <w:right w:type="dxa" w:w="100"/>
            </w:tcMar>
          </w:tcPr>
          <w:p>
            <w:pPr>
              <w:jc w:val="left"/>
            </w:pPr>
            <w:r>
              <w:rPr>
                <w:b w:val="false"/>
                <w:bCs w:val="false"/>
                <w:color w:val="000000"/>
                <w:sz w:val="19"/>
                <w:szCs w:val="19"/>
              </w:rPr>
              <w:t xml:space="preserve">Build synthetic data generator (varied hospitals, diagnoses, cost bands, edge cases)</w:t>
            </w:r>
          </w:p>
        </w:tc>
        <w:tc>
          <w:tcPr>
            <w:tcW w:type="dxa" w:w="3100"/>
            <w:shd w:fill="FFFFFF" w:val="clear"/>
            <w:tcMar>
              <w:top w:type="dxa" w:w="80"/>
              <w:left w:type="dxa" w:w="100"/>
              <w:bottom w:type="dxa" w:w="80"/>
              <w:right w:type="dxa" w:w="100"/>
            </w:tcMar>
          </w:tcPr>
          <w:p>
            <w:pPr>
              <w:jc w:val="left"/>
            </w:pPr>
            <w:r>
              <w:rPr>
                <w:b w:val="false"/>
                <w:bCs w:val="false"/>
                <w:color w:val="000000"/>
                <w:sz w:val="19"/>
                <w:szCs w:val="19"/>
              </w:rPr>
              <w:t xml:space="preserve">≥100 synthetic cases + generator doc</w:t>
            </w:r>
          </w:p>
        </w:tc>
      </w:tr>
      <w:tr>
        <w:tc>
          <w:tcPr>
            <w:tcW w:type="dxa" w:w="900"/>
            <w:shd w:fill="EAF2F1" w:val="clear"/>
            <w:tcMar>
              <w:top w:type="dxa" w:w="80"/>
              <w:left w:type="dxa" w:w="100"/>
              <w:bottom w:type="dxa" w:w="80"/>
              <w:right w:type="dxa" w:w="100"/>
            </w:tcMar>
          </w:tcPr>
          <w:p>
            <w:pPr>
              <w:jc w:val="left"/>
            </w:pPr>
            <w:r>
              <w:rPr>
                <w:b w:val="false"/>
                <w:bCs w:val="false"/>
                <w:color w:val="000000"/>
                <w:sz w:val="19"/>
                <w:szCs w:val="19"/>
              </w:rPr>
              <w:t xml:space="preserve">3</w:t>
            </w:r>
          </w:p>
        </w:tc>
        <w:tc>
          <w:tcPr>
            <w:tcW w:type="dxa" w:w="5800"/>
            <w:shd w:fill="EAF2F1" w:val="clear"/>
            <w:tcMar>
              <w:top w:type="dxa" w:w="80"/>
              <w:left w:type="dxa" w:w="100"/>
              <w:bottom w:type="dxa" w:w="80"/>
              <w:right w:type="dxa" w:w="100"/>
            </w:tcMar>
          </w:tcPr>
          <w:p>
            <w:pPr>
              <w:jc w:val="left"/>
            </w:pPr>
            <w:r>
              <w:rPr>
                <w:b w:val="false"/>
                <w:bCs w:val="false"/>
                <w:color w:val="000000"/>
                <w:sz w:val="19"/>
                <w:szCs w:val="19"/>
              </w:rPr>
              <w:t xml:space="preserve">PDF/JSON ingestion module</w:t>
            </w:r>
          </w:p>
        </w:tc>
        <w:tc>
          <w:tcPr>
            <w:tcW w:type="dxa" w:w="3100"/>
            <w:shd w:fill="EAF2F1" w:val="clear"/>
            <w:tcMar>
              <w:top w:type="dxa" w:w="80"/>
              <w:left w:type="dxa" w:w="100"/>
              <w:bottom w:type="dxa" w:w="80"/>
              <w:right w:type="dxa" w:w="100"/>
            </w:tcMar>
          </w:tcPr>
          <w:p>
            <w:pPr>
              <w:jc w:val="left"/>
            </w:pPr>
            <w:r>
              <w:rPr>
                <w:b w:val="false"/>
                <w:bCs w:val="false"/>
                <w:color w:val="000000"/>
                <w:sz w:val="19"/>
                <w:szCs w:val="19"/>
              </w:rPr>
              <w:t xml:space="preserve">Ingestion module + unit tests</w:t>
            </w:r>
          </w:p>
        </w:tc>
      </w:tr>
      <w:tr>
        <w:tc>
          <w:tcPr>
            <w:tcW w:type="dxa" w:w="900"/>
            <w:shd w:fill="FFFFFF" w:val="clear"/>
            <w:tcMar>
              <w:top w:type="dxa" w:w="80"/>
              <w:left w:type="dxa" w:w="100"/>
              <w:bottom w:type="dxa" w:w="80"/>
              <w:right w:type="dxa" w:w="100"/>
            </w:tcMar>
          </w:tcPr>
          <w:p>
            <w:pPr>
              <w:jc w:val="left"/>
            </w:pPr>
            <w:r>
              <w:rPr>
                <w:b w:val="false"/>
                <w:bCs w:val="false"/>
                <w:color w:val="000000"/>
                <w:sz w:val="19"/>
                <w:szCs w:val="19"/>
              </w:rPr>
              <w:t xml:space="preserve">4</w:t>
            </w:r>
          </w:p>
        </w:tc>
        <w:tc>
          <w:tcPr>
            <w:tcW w:type="dxa" w:w="5800"/>
            <w:shd w:fill="FFFFFF" w:val="clear"/>
            <w:tcMar>
              <w:top w:type="dxa" w:w="80"/>
              <w:left w:type="dxa" w:w="100"/>
              <w:bottom w:type="dxa" w:w="80"/>
              <w:right w:type="dxa" w:w="100"/>
            </w:tcMar>
          </w:tcPr>
          <w:p>
            <w:pPr>
              <w:jc w:val="left"/>
            </w:pPr>
            <w:r>
              <w:rPr>
                <w:b w:val="false"/>
                <w:bCs w:val="false"/>
                <w:color w:val="000000"/>
                <w:sz w:val="19"/>
                <w:szCs w:val="19"/>
              </w:rPr>
              <w:t xml:space="preserve">OCR pipeline for scanned/illegible forms</w:t>
            </w:r>
          </w:p>
        </w:tc>
        <w:tc>
          <w:tcPr>
            <w:tcW w:type="dxa" w:w="3100"/>
            <w:shd w:fill="FFFFFF" w:val="clear"/>
            <w:tcMar>
              <w:top w:type="dxa" w:w="80"/>
              <w:left w:type="dxa" w:w="100"/>
              <w:bottom w:type="dxa" w:w="80"/>
              <w:right w:type="dxa" w:w="100"/>
            </w:tcMar>
          </w:tcPr>
          <w:p>
            <w:pPr>
              <w:jc w:val="left"/>
            </w:pPr>
            <w:r>
              <w:rPr>
                <w:b w:val="false"/>
                <w:bCs w:val="false"/>
                <w:color w:val="000000"/>
                <w:sz w:val="19"/>
                <w:szCs w:val="19"/>
              </w:rPr>
              <w:t xml:space="preserve">OCR module + accuracy note</w:t>
            </w:r>
          </w:p>
        </w:tc>
      </w:tr>
      <w:tr>
        <w:tc>
          <w:tcPr>
            <w:tcW w:type="dxa" w:w="900"/>
            <w:shd w:fill="EAF2F1" w:val="clear"/>
            <w:tcMar>
              <w:top w:type="dxa" w:w="80"/>
              <w:left w:type="dxa" w:w="100"/>
              <w:bottom w:type="dxa" w:w="80"/>
              <w:right w:type="dxa" w:w="100"/>
            </w:tcMar>
          </w:tcPr>
          <w:p>
            <w:pPr>
              <w:jc w:val="left"/>
            </w:pPr>
            <w:r>
              <w:rPr>
                <w:b w:val="false"/>
                <w:bCs w:val="false"/>
                <w:color w:val="000000"/>
                <w:sz w:val="19"/>
                <w:szCs w:val="19"/>
              </w:rPr>
              <w:t xml:space="preserve">5–6</w:t>
            </w:r>
          </w:p>
        </w:tc>
        <w:tc>
          <w:tcPr>
            <w:tcW w:type="dxa" w:w="5800"/>
            <w:shd w:fill="EAF2F1" w:val="clear"/>
            <w:tcMar>
              <w:top w:type="dxa" w:w="80"/>
              <w:left w:type="dxa" w:w="100"/>
              <w:bottom w:type="dxa" w:w="80"/>
              <w:right w:type="dxa" w:w="100"/>
            </w:tcMar>
          </w:tcPr>
          <w:p>
            <w:pPr>
              <w:jc w:val="left"/>
            </w:pPr>
            <w:r>
              <w:rPr>
                <w:b w:val="false"/>
                <w:bCs w:val="false"/>
                <w:color w:val="000000"/>
                <w:sz w:val="19"/>
                <w:szCs w:val="19"/>
              </w:rPr>
              <w:t xml:space="preserve">LLM-based structured extraction + schema validation</w:t>
            </w:r>
          </w:p>
        </w:tc>
        <w:tc>
          <w:tcPr>
            <w:tcW w:type="dxa" w:w="3100"/>
            <w:shd w:fill="EAF2F1" w:val="clear"/>
            <w:tcMar>
              <w:top w:type="dxa" w:w="80"/>
              <w:left w:type="dxa" w:w="100"/>
              <w:bottom w:type="dxa" w:w="80"/>
              <w:right w:type="dxa" w:w="100"/>
            </w:tcMar>
          </w:tcPr>
          <w:p>
            <w:pPr>
              <w:jc w:val="left"/>
            </w:pPr>
            <w:r>
              <w:rPr>
                <w:b w:val="false"/>
                <w:bCs w:val="false"/>
                <w:color w:val="000000"/>
                <w:sz w:val="19"/>
                <w:szCs w:val="19"/>
              </w:rPr>
              <w:t xml:space="preserve">Extraction module, precision/recall report</w:t>
            </w:r>
          </w:p>
        </w:tc>
      </w:tr>
      <w:tr>
        <w:tc>
          <w:tcPr>
            <w:tcW w:type="dxa" w:w="900"/>
            <w:shd w:fill="FFFFFF" w:val="clear"/>
            <w:tcMar>
              <w:top w:type="dxa" w:w="80"/>
              <w:left w:type="dxa" w:w="100"/>
              <w:bottom w:type="dxa" w:w="80"/>
              <w:right w:type="dxa" w:w="100"/>
            </w:tcMar>
          </w:tcPr>
          <w:p>
            <w:pPr>
              <w:jc w:val="left"/>
            </w:pPr>
            <w:r>
              <w:rPr>
                <w:b w:val="false"/>
                <w:bCs w:val="false"/>
                <w:color w:val="000000"/>
                <w:sz w:val="19"/>
                <w:szCs w:val="19"/>
              </w:rPr>
              <w:t xml:space="preserve">7–8</w:t>
            </w:r>
          </w:p>
        </w:tc>
        <w:tc>
          <w:tcPr>
            <w:tcW w:type="dxa" w:w="5800"/>
            <w:shd w:fill="FFFFFF" w:val="clear"/>
            <w:tcMar>
              <w:top w:type="dxa" w:w="80"/>
              <w:left w:type="dxa" w:w="100"/>
              <w:bottom w:type="dxa" w:w="80"/>
              <w:right w:type="dxa" w:w="100"/>
            </w:tcMar>
          </w:tcPr>
          <w:p>
            <w:pPr>
              <w:jc w:val="left"/>
            </w:pPr>
            <w:r>
              <w:rPr>
                <w:b w:val="false"/>
                <w:bCs w:val="false"/>
                <w:color w:val="000000"/>
                <w:sz w:val="19"/>
                <w:szCs w:val="19"/>
              </w:rPr>
              <w:t xml:space="preserve">Integration with Member 2's retrieval &amp; orchestration graph</w:t>
            </w:r>
          </w:p>
        </w:tc>
        <w:tc>
          <w:tcPr>
            <w:tcW w:type="dxa" w:w="3100"/>
            <w:shd w:fill="FFFFFF" w:val="clear"/>
            <w:tcMar>
              <w:top w:type="dxa" w:w="80"/>
              <w:left w:type="dxa" w:w="100"/>
              <w:bottom w:type="dxa" w:w="80"/>
              <w:right w:type="dxa" w:w="100"/>
            </w:tcMar>
          </w:tcPr>
          <w:p>
            <w:pPr>
              <w:jc w:val="left"/>
            </w:pPr>
            <w:r>
              <w:rPr>
                <w:b w:val="false"/>
                <w:bCs w:val="false"/>
                <w:color w:val="000000"/>
                <w:sz w:val="19"/>
                <w:szCs w:val="19"/>
              </w:rPr>
              <w:t xml:space="preserve">Working end-to-end ingestion→extraction→handoff</w:t>
            </w:r>
          </w:p>
        </w:tc>
      </w:tr>
      <w:tr>
        <w:tc>
          <w:tcPr>
            <w:tcW w:type="dxa" w:w="900"/>
            <w:shd w:fill="EAF2F1" w:val="clear"/>
            <w:tcMar>
              <w:top w:type="dxa" w:w="80"/>
              <w:left w:type="dxa" w:w="100"/>
              <w:bottom w:type="dxa" w:w="80"/>
              <w:right w:type="dxa" w:w="100"/>
            </w:tcMar>
          </w:tcPr>
          <w:p>
            <w:pPr>
              <w:jc w:val="left"/>
            </w:pPr>
            <w:r>
              <w:rPr>
                <w:b w:val="false"/>
                <w:bCs w:val="false"/>
                <w:color w:val="000000"/>
                <w:sz w:val="19"/>
                <w:szCs w:val="19"/>
              </w:rPr>
              <w:t xml:space="preserve">9–10</w:t>
            </w:r>
          </w:p>
        </w:tc>
        <w:tc>
          <w:tcPr>
            <w:tcW w:type="dxa" w:w="5800"/>
            <w:shd w:fill="EAF2F1" w:val="clear"/>
            <w:tcMar>
              <w:top w:type="dxa" w:w="80"/>
              <w:left w:type="dxa" w:w="100"/>
              <w:bottom w:type="dxa" w:w="80"/>
              <w:right w:type="dxa" w:w="100"/>
            </w:tcMar>
          </w:tcPr>
          <w:p>
            <w:pPr>
              <w:jc w:val="left"/>
            </w:pPr>
            <w:r>
              <w:rPr>
                <w:b w:val="false"/>
                <w:bCs w:val="false"/>
                <w:color w:val="000000"/>
                <w:sz w:val="19"/>
                <w:szCs w:val="19"/>
              </w:rPr>
              <w:t xml:space="preserve">Support adversarial-case authoring (illegible scan, wrong language, transposed digits)</w:t>
            </w:r>
          </w:p>
        </w:tc>
        <w:tc>
          <w:tcPr>
            <w:tcW w:type="dxa" w:w="3100"/>
            <w:shd w:fill="EAF2F1" w:val="clear"/>
            <w:tcMar>
              <w:top w:type="dxa" w:w="80"/>
              <w:left w:type="dxa" w:w="100"/>
              <w:bottom w:type="dxa" w:w="80"/>
              <w:right w:type="dxa" w:w="100"/>
            </w:tcMar>
          </w:tcPr>
          <w:p>
            <w:pPr>
              <w:jc w:val="left"/>
            </w:pPr>
            <w:r>
              <w:rPr>
                <w:b w:val="false"/>
                <w:bCs w:val="false"/>
                <w:color w:val="000000"/>
                <w:sz w:val="19"/>
                <w:szCs w:val="19"/>
              </w:rPr>
              <w:t xml:space="preserve">4+ adversarial extraction cases</w:t>
            </w:r>
          </w:p>
        </w:tc>
      </w:tr>
      <w:tr>
        <w:tc>
          <w:tcPr>
            <w:tcW w:type="dxa" w:w="900"/>
            <w:shd w:fill="FFFFFF" w:val="clear"/>
            <w:tcMar>
              <w:top w:type="dxa" w:w="80"/>
              <w:left w:type="dxa" w:w="100"/>
              <w:bottom w:type="dxa" w:w="80"/>
              <w:right w:type="dxa" w:w="100"/>
            </w:tcMar>
          </w:tcPr>
          <w:p>
            <w:pPr>
              <w:jc w:val="left"/>
            </w:pPr>
            <w:r>
              <w:rPr>
                <w:b w:val="false"/>
                <w:bCs w:val="false"/>
                <w:color w:val="000000"/>
                <w:sz w:val="19"/>
                <w:szCs w:val="19"/>
              </w:rPr>
              <w:t xml:space="preserve">11–12</w:t>
            </w:r>
          </w:p>
        </w:tc>
        <w:tc>
          <w:tcPr>
            <w:tcW w:type="dxa" w:w="5800"/>
            <w:shd w:fill="FFFFFF" w:val="clear"/>
            <w:tcMar>
              <w:top w:type="dxa" w:w="80"/>
              <w:left w:type="dxa" w:w="100"/>
              <w:bottom w:type="dxa" w:w="80"/>
              <w:right w:type="dxa" w:w="100"/>
            </w:tcMar>
          </w:tcPr>
          <w:p>
            <w:pPr>
              <w:jc w:val="left"/>
            </w:pPr>
            <w:r>
              <w:rPr>
                <w:b w:val="false"/>
                <w:bCs w:val="false"/>
                <w:color w:val="000000"/>
                <w:sz w:val="19"/>
                <w:szCs w:val="19"/>
              </w:rPr>
              <w:t xml:space="preserve">Polish, edge-case fixes, contribute to deployment note &amp; report</w:t>
            </w:r>
          </w:p>
        </w:tc>
        <w:tc>
          <w:tcPr>
            <w:tcW w:type="dxa" w:w="3100"/>
            <w:shd w:fill="FFFFFF" w:val="clear"/>
            <w:tcMar>
              <w:top w:type="dxa" w:w="80"/>
              <w:left w:type="dxa" w:w="100"/>
              <w:bottom w:type="dxa" w:w="80"/>
              <w:right w:type="dxa" w:w="100"/>
            </w:tcMar>
          </w:tcPr>
          <w:p>
            <w:pPr>
              <w:jc w:val="left"/>
            </w:pPr>
            <w:r>
              <w:rPr>
                <w:b w:val="false"/>
                <w:bCs w:val="false"/>
                <w:color w:val="000000"/>
                <w:sz w:val="19"/>
                <w:szCs w:val="19"/>
              </w:rPr>
              <w:t xml:space="preserve">Final module + write-up</w:t>
            </w:r>
          </w:p>
        </w:tc>
      </w:tr>
    </w:tbl>
    <w:p>
      <w:pPr>
        <w:spacing w:after="140" w:line="276"/>
      </w:pPr>
      <w:r>
        <w:rPr>
          <w:sz w:val="21"/>
          <w:szCs w:val="21"/>
        </w:rPr>
        <w:t xml:space="preserve">Suggested tools: Python, Pydantic v2, pdfplumber/PyMuPDF, Tesseract or PaddleOCR, an LLM API for both synthetic data generation and extraction.</w:t>
      </w:r>
    </w:p>
    <w:p>
      <w:pPr>
        <w:pStyle w:val="Heading2"/>
        <w:spacing w:after="120" w:before="280"/>
      </w:pPr>
      <w:r>
        <w:rPr>
          <w:b/>
          <w:bCs/>
          <w:color w:val="2E7D6B"/>
          <w:sz w:val="24"/>
          <w:szCs w:val="24"/>
        </w:rPr>
        <w:t xml:space="preserve">6.2 Member 2 — Retrieval, Rules &amp; Orchestration Engineer</w:t>
      </w:r>
    </w:p>
    <w:p>
      <w:pPr>
        <w:spacing w:after="140" w:line="276"/>
      </w:pPr>
      <w:r>
        <w:rPr>
          <w:sz w:val="21"/>
          <w:szCs w:val="21"/>
        </w:rPr>
        <w:t xml:space="preserve">Owns the reasoning core: turning a structured claim plus the governing clauses into a cited, arithmetic-backed recommendation.</w:t>
      </w:r>
    </w:p>
    <w:p>
      <w:pPr>
        <w:spacing w:after="80" w:before="200"/>
      </w:pPr>
      <w:r>
        <w:rPr>
          <w:b/>
          <w:bCs/>
          <w:color w:val="333333"/>
          <w:sz w:val="22"/>
          <w:szCs w:val="22"/>
        </w:rPr>
        <w:t xml:space="preserve">Responsibilities</w:t>
      </w:r>
    </w:p>
    <w:p>
      <w:pPr>
        <w:pStyle w:val="ListParagraph"/>
        <w:numPr>
          <w:ilvl w:val="0"/>
          <w:numId w:val="3"/>
        </w:numPr>
        <w:spacing w:after="60" w:line="270"/>
      </w:pPr>
      <w:r>
        <w:rPr>
          <w:sz w:val="21"/>
          <w:szCs w:val="21"/>
        </w:rPr>
        <w:t xml:space="preserve">Build a retrieval index over policy wordings, benefit tables and relevant IRDAI circular excerpts; measure Recall@k on a labelled query set.</w:t>
      </w:r>
    </w:p>
    <w:p>
      <w:pPr>
        <w:pStyle w:val="ListParagraph"/>
        <w:numPr>
          <w:ilvl w:val="0"/>
          <w:numId w:val="3"/>
        </w:numPr>
        <w:spacing w:after="60" w:line="270"/>
      </w:pPr>
      <w:r>
        <w:rPr>
          <w:sz w:val="21"/>
          <w:szCs w:val="21"/>
        </w:rPr>
        <w:t xml:space="preserve">Implement the rules engine: waiting-period checks, sub-limit and room-rent capping with proportionate deduction, co-pay, deductibles, exclusions, and the non-payables list.</w:t>
      </w:r>
    </w:p>
    <w:p>
      <w:pPr>
        <w:pStyle w:val="ListParagraph"/>
        <w:numPr>
          <w:ilvl w:val="0"/>
          <w:numId w:val="3"/>
        </w:numPr>
        <w:spacing w:after="60" w:line="270"/>
      </w:pPr>
      <w:r>
        <w:rPr>
          <w:sz w:val="21"/>
          <w:szCs w:val="21"/>
        </w:rPr>
        <w:t xml:space="preserve">Build mock core-system tool calls (FastAPI stubs) for policy status, waiting-period-elapsed and sub-limit-balance lookups.</w:t>
      </w:r>
    </w:p>
    <w:p>
      <w:pPr>
        <w:pStyle w:val="ListParagraph"/>
        <w:numPr>
          <w:ilvl w:val="0"/>
          <w:numId w:val="3"/>
        </w:numPr>
        <w:spacing w:after="60" w:line="270"/>
      </w:pPr>
      <w:r>
        <w:rPr>
          <w:sz w:val="21"/>
          <w:szCs w:val="21"/>
        </w:rPr>
        <w:t xml:space="preserve">Orchestrate the full agent graph in LangGraph/CrewAI: extraction → retrieval → tool calls → reasoning → decision, with a confidence score and a clause citation on every deduction.</w:t>
      </w:r>
    </w:p>
    <w:p>
      <w:pPr>
        <w:pStyle w:val="ListParagraph"/>
        <w:numPr>
          <w:ilvl w:val="0"/>
          <w:numId w:val="3"/>
        </w:numPr>
        <w:spacing w:after="60" w:line="270"/>
      </w:pPr>
      <w:r>
        <w:rPr>
          <w:sz w:val="21"/>
          <w:szCs w:val="21"/>
        </w:rPr>
        <w:t xml:space="preserve">Enforce “grounded output or no output”: no unsupported clause citation ever leaves the reasoning node.</w:t>
      </w:r>
    </w:p>
    <w:p>
      <w:pPr>
        <w:spacing w:after="80" w:before="200"/>
      </w:pPr>
      <w:r>
        <w:rPr>
          <w:b/>
          <w:bCs/>
          <w:color w:val="333333"/>
          <w:sz w:val="22"/>
          <w:szCs w:val="22"/>
        </w:rPr>
        <w:t xml:space="preserve">Weekly plan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3100"/>
      </w:tblGrid>
      <w:tr>
        <w:trPr>
          <w:tblHeader/>
        </w:trPr>
        <w:tc>
          <w:tcPr>
            <w:tcW w:type="dxa" w:w="900"/>
            <w:shd w:fill="1F4E5F" w:val="clear"/>
            <w:tcMar>
              <w:top w:type="dxa" w:w="80"/>
              <w:left w:type="dxa" w:w="100"/>
              <w:bottom w:type="dxa" w:w="80"/>
              <w:right w:type="dxa" w:w="100"/>
            </w:tcMar>
          </w:tcPr>
          <w:p>
            <w:pPr>
              <w:jc w:val="left"/>
            </w:pPr>
            <w:r>
              <w:rPr>
                <w:b/>
                <w:bCs/>
                <w:color w:val="FFFFFF"/>
                <w:sz w:val="19"/>
                <w:szCs w:val="19"/>
              </w:rPr>
              <w:t xml:space="preserve">Week</w:t>
            </w:r>
          </w:p>
        </w:tc>
        <w:tc>
          <w:tcPr>
            <w:tcW w:type="dxa" w:w="5800"/>
            <w:shd w:fill="1F4E5F" w:val="clear"/>
            <w:tcMar>
              <w:top w:type="dxa" w:w="80"/>
              <w:left w:type="dxa" w:w="100"/>
              <w:bottom w:type="dxa" w:w="80"/>
              <w:right w:type="dxa" w:w="100"/>
            </w:tcMar>
          </w:tcPr>
          <w:p>
            <w:pPr>
              <w:jc w:val="left"/>
            </w:pPr>
            <w:r>
              <w:rPr>
                <w:b/>
                <w:bCs/>
                <w:color w:val="FFFFFF"/>
                <w:sz w:val="19"/>
                <w:szCs w:val="19"/>
              </w:rPr>
              <w:t xml:space="preserve">Task</w:t>
            </w:r>
          </w:p>
        </w:tc>
        <w:tc>
          <w:tcPr>
            <w:tcW w:type="dxa" w:w="3100"/>
            <w:shd w:fill="1F4E5F" w:val="clear"/>
            <w:tcMar>
              <w:top w:type="dxa" w:w="80"/>
              <w:left w:type="dxa" w:w="100"/>
              <w:bottom w:type="dxa" w:w="80"/>
              <w:right w:type="dxa" w:w="100"/>
            </w:tcMar>
          </w:tcPr>
          <w:p>
            <w:pPr>
              <w:jc w:val="left"/>
            </w:pPr>
            <w:r>
              <w:rPr>
                <w:b/>
                <w:bCs/>
                <w:color w:val="FFFFFF"/>
                <w:sz w:val="19"/>
                <w:szCs w:val="19"/>
              </w:rPr>
              <w:t xml:space="preserve">Deliverable</w:t>
            </w:r>
          </w:p>
        </w:tc>
      </w:tr>
      <w:tr>
        <w:tc>
          <w:tcPr>
            <w:tcW w:type="dxa" w:w="900"/>
            <w:shd w:fill="EAF2F1" w:val="clear"/>
            <w:tcMar>
              <w:top w:type="dxa" w:w="80"/>
              <w:left w:type="dxa" w:w="100"/>
              <w:bottom w:type="dxa" w:w="80"/>
              <w:right w:type="dxa" w:w="100"/>
            </w:tcMar>
          </w:tcPr>
          <w:p>
            <w:pPr>
              <w:jc w:val="left"/>
            </w:pPr>
            <w:r>
              <w:rPr>
                <w:b w:val="false"/>
                <w:bCs w:val="false"/>
                <w:color w:val="000000"/>
                <w:sz w:val="19"/>
                <w:szCs w:val="19"/>
              </w:rPr>
              <w:t xml:space="preserve">1–2</w:t>
            </w:r>
          </w:p>
        </w:tc>
        <w:tc>
          <w:tcPr>
            <w:tcW w:type="dxa" w:w="5800"/>
            <w:shd w:fill="EAF2F1" w:val="clear"/>
            <w:tcMar>
              <w:top w:type="dxa" w:w="80"/>
              <w:left w:type="dxa" w:w="100"/>
              <w:bottom w:type="dxa" w:w="80"/>
              <w:right w:type="dxa" w:w="100"/>
            </w:tcMar>
          </w:tcPr>
          <w:p>
            <w:pPr>
              <w:jc w:val="left"/>
            </w:pPr>
            <w:r>
              <w:rPr>
                <w:b w:val="false"/>
                <w:bCs w:val="false"/>
                <w:color w:val="000000"/>
                <w:sz w:val="19"/>
                <w:szCs w:val="19"/>
              </w:rPr>
              <w:t xml:space="preserve">Study benefit-structure documents; design retrieval chunking strategy</w:t>
            </w:r>
          </w:p>
        </w:tc>
        <w:tc>
          <w:tcPr>
            <w:tcW w:type="dxa" w:w="3100"/>
            <w:shd w:fill="EAF2F1" w:val="clear"/>
            <w:tcMar>
              <w:top w:type="dxa" w:w="80"/>
              <w:left w:type="dxa" w:w="100"/>
              <w:bottom w:type="dxa" w:w="80"/>
              <w:right w:type="dxa" w:w="100"/>
            </w:tcMar>
          </w:tcPr>
          <w:p>
            <w:pPr>
              <w:jc w:val="left"/>
            </w:pPr>
            <w:r>
              <w:rPr>
                <w:b w:val="false"/>
                <w:bCs w:val="false"/>
                <w:color w:val="000000"/>
                <w:sz w:val="19"/>
                <w:szCs w:val="19"/>
              </w:rPr>
              <w:t xml:space="preserve">Retrieval design note</w:t>
            </w:r>
          </w:p>
        </w:tc>
      </w:tr>
      <w:tr>
        <w:tc>
          <w:tcPr>
            <w:tcW w:type="dxa" w:w="900"/>
            <w:shd w:fill="FFFFFF" w:val="clear"/>
            <w:tcMar>
              <w:top w:type="dxa" w:w="80"/>
              <w:left w:type="dxa" w:w="100"/>
              <w:bottom w:type="dxa" w:w="80"/>
              <w:right w:type="dxa" w:w="100"/>
            </w:tcMar>
          </w:tcPr>
          <w:p>
            <w:pPr>
              <w:jc w:val="left"/>
            </w:pPr>
            <w:r>
              <w:rPr>
                <w:b w:val="false"/>
                <w:bCs w:val="false"/>
                <w:color w:val="000000"/>
                <w:sz w:val="19"/>
                <w:szCs w:val="19"/>
              </w:rPr>
              <w:t xml:space="preserve">3–4</w:t>
            </w:r>
          </w:p>
        </w:tc>
        <w:tc>
          <w:tcPr>
            <w:tcW w:type="dxa" w:w="5800"/>
            <w:shd w:fill="FFFFFF" w:val="clear"/>
            <w:tcMar>
              <w:top w:type="dxa" w:w="80"/>
              <w:left w:type="dxa" w:w="100"/>
              <w:bottom w:type="dxa" w:w="80"/>
              <w:right w:type="dxa" w:w="100"/>
            </w:tcMar>
          </w:tcPr>
          <w:p>
            <w:pPr>
              <w:jc w:val="left"/>
            </w:pPr>
            <w:r>
              <w:rPr>
                <w:b w:val="false"/>
                <w:bCs w:val="false"/>
                <w:color w:val="000000"/>
                <w:sz w:val="19"/>
                <w:szCs w:val="19"/>
              </w:rPr>
              <w:t xml:space="preserve">Build vector index + baseline retrieval; evaluate Recall@k</w:t>
            </w:r>
          </w:p>
        </w:tc>
        <w:tc>
          <w:tcPr>
            <w:tcW w:type="dxa" w:w="3100"/>
            <w:shd w:fill="FFFFFF" w:val="clear"/>
            <w:tcMar>
              <w:top w:type="dxa" w:w="80"/>
              <w:left w:type="dxa" w:w="100"/>
              <w:bottom w:type="dxa" w:w="80"/>
              <w:right w:type="dxa" w:w="100"/>
            </w:tcMar>
          </w:tcPr>
          <w:p>
            <w:pPr>
              <w:jc w:val="left"/>
            </w:pPr>
            <w:r>
              <w:rPr>
                <w:b w:val="false"/>
                <w:bCs w:val="false"/>
                <w:color w:val="000000"/>
                <w:sz w:val="19"/>
                <w:szCs w:val="19"/>
              </w:rPr>
              <w:t xml:space="preserve">Retrieval baseline + metric</w:t>
            </w:r>
          </w:p>
        </w:tc>
      </w:tr>
      <w:tr>
        <w:tc>
          <w:tcPr>
            <w:tcW w:type="dxa" w:w="900"/>
            <w:shd w:fill="EAF2F1" w:val="clear"/>
            <w:tcMar>
              <w:top w:type="dxa" w:w="80"/>
              <w:left w:type="dxa" w:w="100"/>
              <w:bottom w:type="dxa" w:w="80"/>
              <w:right w:type="dxa" w:w="100"/>
            </w:tcMar>
          </w:tcPr>
          <w:p>
            <w:pPr>
              <w:jc w:val="left"/>
            </w:pPr>
            <w:r>
              <w:rPr>
                <w:b w:val="false"/>
                <w:bCs w:val="false"/>
                <w:color w:val="000000"/>
                <w:sz w:val="19"/>
                <w:szCs w:val="19"/>
              </w:rPr>
              <w:t xml:space="preserve">5–6</w:t>
            </w:r>
          </w:p>
        </w:tc>
        <w:tc>
          <w:tcPr>
            <w:tcW w:type="dxa" w:w="5800"/>
            <w:shd w:fill="EAF2F1" w:val="clear"/>
            <w:tcMar>
              <w:top w:type="dxa" w:w="80"/>
              <w:left w:type="dxa" w:w="100"/>
              <w:bottom w:type="dxa" w:w="80"/>
              <w:right w:type="dxa" w:w="100"/>
            </w:tcMar>
          </w:tcPr>
          <w:p>
            <w:pPr>
              <w:jc w:val="left"/>
            </w:pPr>
            <w:r>
              <w:rPr>
                <w:b w:val="false"/>
                <w:bCs w:val="false"/>
                <w:color w:val="000000"/>
                <w:sz w:val="19"/>
                <w:szCs w:val="19"/>
              </w:rPr>
              <w:t xml:space="preserve">Build rules engine (waiting period, sub-limits, capping, co-pay); mock tool APIs</w:t>
            </w:r>
          </w:p>
        </w:tc>
        <w:tc>
          <w:tcPr>
            <w:tcW w:type="dxa" w:w="3100"/>
            <w:shd w:fill="EAF2F1" w:val="clear"/>
            <w:tcMar>
              <w:top w:type="dxa" w:w="80"/>
              <w:left w:type="dxa" w:w="100"/>
              <w:bottom w:type="dxa" w:w="80"/>
              <w:right w:type="dxa" w:w="100"/>
            </w:tcMar>
          </w:tcPr>
          <w:p>
            <w:pPr>
              <w:jc w:val="left"/>
            </w:pPr>
            <w:r>
              <w:rPr>
                <w:b w:val="false"/>
                <w:bCs w:val="false"/>
                <w:color w:val="000000"/>
                <w:sz w:val="19"/>
                <w:szCs w:val="19"/>
              </w:rPr>
              <w:t xml:space="preserve">Rules engine + FastAPI stubs</w:t>
            </w:r>
          </w:p>
        </w:tc>
      </w:tr>
      <w:tr>
        <w:tc>
          <w:tcPr>
            <w:tcW w:type="dxa" w:w="900"/>
            <w:shd w:fill="FFFFFF" w:val="clear"/>
            <w:tcMar>
              <w:top w:type="dxa" w:w="80"/>
              <w:left w:type="dxa" w:w="100"/>
              <w:bottom w:type="dxa" w:w="80"/>
              <w:right w:type="dxa" w:w="100"/>
            </w:tcMar>
          </w:tcPr>
          <w:p>
            <w:pPr>
              <w:jc w:val="left"/>
            </w:pPr>
            <w:r>
              <w:rPr>
                <w:b w:val="false"/>
                <w:bCs w:val="false"/>
                <w:color w:val="000000"/>
                <w:sz w:val="19"/>
                <w:szCs w:val="19"/>
              </w:rPr>
              <w:t xml:space="preserve">7–8</w:t>
            </w:r>
          </w:p>
        </w:tc>
        <w:tc>
          <w:tcPr>
            <w:tcW w:type="dxa" w:w="5800"/>
            <w:shd w:fill="FFFFFF" w:val="clear"/>
            <w:tcMar>
              <w:top w:type="dxa" w:w="80"/>
              <w:left w:type="dxa" w:w="100"/>
              <w:bottom w:type="dxa" w:w="80"/>
              <w:right w:type="dxa" w:w="100"/>
            </w:tcMar>
          </w:tcPr>
          <w:p>
            <w:pPr>
              <w:jc w:val="left"/>
            </w:pPr>
            <w:r>
              <w:rPr>
                <w:b w:val="false"/>
                <w:bCs w:val="false"/>
                <w:color w:val="000000"/>
                <w:sz w:val="19"/>
                <w:szCs w:val="19"/>
              </w:rPr>
              <w:t xml:space="preserve">Wire full LangGraph/CrewAI orchestration; integrate Member 1's extraction output</w:t>
            </w:r>
          </w:p>
        </w:tc>
        <w:tc>
          <w:tcPr>
            <w:tcW w:type="dxa" w:w="3100"/>
            <w:shd w:fill="FFFFFF" w:val="clear"/>
            <w:tcMar>
              <w:top w:type="dxa" w:w="80"/>
              <w:left w:type="dxa" w:w="100"/>
              <w:bottom w:type="dxa" w:w="80"/>
              <w:right w:type="dxa" w:w="100"/>
            </w:tcMar>
          </w:tcPr>
          <w:p>
            <w:pPr>
              <w:jc w:val="left"/>
            </w:pPr>
            <w:r>
              <w:rPr>
                <w:b w:val="false"/>
                <w:bCs w:val="false"/>
                <w:color w:val="000000"/>
                <w:sz w:val="19"/>
                <w:szCs w:val="19"/>
              </w:rPr>
              <w:t xml:space="preserve">Working end-to-end agent (integration week)</w:t>
            </w:r>
          </w:p>
        </w:tc>
      </w:tr>
      <w:tr>
        <w:tc>
          <w:tcPr>
            <w:tcW w:type="dxa" w:w="900"/>
            <w:shd w:fill="EAF2F1" w:val="clear"/>
            <w:tcMar>
              <w:top w:type="dxa" w:w="80"/>
              <w:left w:type="dxa" w:w="100"/>
              <w:bottom w:type="dxa" w:w="80"/>
              <w:right w:type="dxa" w:w="100"/>
            </w:tcMar>
          </w:tcPr>
          <w:p>
            <w:pPr>
              <w:jc w:val="left"/>
            </w:pPr>
            <w:r>
              <w:rPr>
                <w:b w:val="false"/>
                <w:bCs w:val="false"/>
                <w:color w:val="000000"/>
                <w:sz w:val="19"/>
                <w:szCs w:val="19"/>
              </w:rPr>
              <w:t xml:space="preserve">9–10</w:t>
            </w:r>
          </w:p>
        </w:tc>
        <w:tc>
          <w:tcPr>
            <w:tcW w:type="dxa" w:w="5800"/>
            <w:shd w:fill="EAF2F1" w:val="clear"/>
            <w:tcMar>
              <w:top w:type="dxa" w:w="80"/>
              <w:left w:type="dxa" w:w="100"/>
              <w:bottom w:type="dxa" w:w="80"/>
              <w:right w:type="dxa" w:w="100"/>
            </w:tcMar>
          </w:tcPr>
          <w:p>
            <w:pPr>
              <w:jc w:val="left"/>
            </w:pPr>
            <w:r>
              <w:rPr>
                <w:b w:val="false"/>
                <w:bCs w:val="false"/>
                <w:color w:val="000000"/>
                <w:sz w:val="19"/>
                <w:szCs w:val="19"/>
              </w:rPr>
              <w:t xml:space="preserve">Tune reasoning against adversarial cases (waiting-period edge, endorsement reversal, threshold cases)</w:t>
            </w:r>
          </w:p>
        </w:tc>
        <w:tc>
          <w:tcPr>
            <w:tcW w:type="dxa" w:w="3100"/>
            <w:shd w:fill="EAF2F1" w:val="clear"/>
            <w:tcMar>
              <w:top w:type="dxa" w:w="80"/>
              <w:left w:type="dxa" w:w="100"/>
              <w:bottom w:type="dxa" w:w="80"/>
              <w:right w:type="dxa" w:w="100"/>
            </w:tcMar>
          </w:tcPr>
          <w:p>
            <w:pPr>
              <w:jc w:val="left"/>
            </w:pPr>
            <w:r>
              <w:rPr>
                <w:b w:val="false"/>
                <w:bCs w:val="false"/>
                <w:color w:val="000000"/>
                <w:sz w:val="19"/>
                <w:szCs w:val="19"/>
              </w:rPr>
              <w:t xml:space="preserve">Revised agent + failure-mode notes</w:t>
            </w:r>
          </w:p>
        </w:tc>
      </w:tr>
      <w:tr>
        <w:tc>
          <w:tcPr>
            <w:tcW w:type="dxa" w:w="900"/>
            <w:shd w:fill="FFFFFF" w:val="clear"/>
            <w:tcMar>
              <w:top w:type="dxa" w:w="80"/>
              <w:left w:type="dxa" w:w="100"/>
              <w:bottom w:type="dxa" w:w="80"/>
              <w:right w:type="dxa" w:w="100"/>
            </w:tcMar>
          </w:tcPr>
          <w:p>
            <w:pPr>
              <w:jc w:val="left"/>
            </w:pPr>
            <w:r>
              <w:rPr>
                <w:b w:val="false"/>
                <w:bCs w:val="false"/>
                <w:color w:val="000000"/>
                <w:sz w:val="19"/>
                <w:szCs w:val="19"/>
              </w:rPr>
              <w:t xml:space="preserve">11–12</w:t>
            </w:r>
          </w:p>
        </w:tc>
        <w:tc>
          <w:tcPr>
            <w:tcW w:type="dxa" w:w="5800"/>
            <w:shd w:fill="FFFFFF" w:val="clear"/>
            <w:tcMar>
              <w:top w:type="dxa" w:w="80"/>
              <w:left w:type="dxa" w:w="100"/>
              <w:bottom w:type="dxa" w:w="80"/>
              <w:right w:type="dxa" w:w="100"/>
            </w:tcMar>
          </w:tcPr>
          <w:p>
            <w:pPr>
              <w:jc w:val="left"/>
            </w:pPr>
            <w:r>
              <w:rPr>
                <w:b w:val="false"/>
                <w:bCs w:val="false"/>
                <w:color w:val="000000"/>
                <w:sz w:val="19"/>
                <w:szCs w:val="19"/>
              </w:rPr>
              <w:t xml:space="preserve">Latency and cost profiling against the 1-hour clock; final polish</w:t>
            </w:r>
          </w:p>
        </w:tc>
        <w:tc>
          <w:tcPr>
            <w:tcW w:type="dxa" w:w="3100"/>
            <w:shd w:fill="FFFFFF" w:val="clear"/>
            <w:tcMar>
              <w:top w:type="dxa" w:w="80"/>
              <w:left w:type="dxa" w:w="100"/>
              <w:bottom w:type="dxa" w:w="80"/>
              <w:right w:type="dxa" w:w="100"/>
            </w:tcMar>
          </w:tcPr>
          <w:p>
            <w:pPr>
              <w:jc w:val="left"/>
            </w:pPr>
            <w:r>
              <w:rPr>
                <w:b w:val="false"/>
                <w:bCs w:val="false"/>
                <w:color w:val="000000"/>
                <w:sz w:val="19"/>
                <w:szCs w:val="19"/>
              </w:rPr>
              <w:t xml:space="preserve">Perf report, final orchestration code</w:t>
            </w:r>
          </w:p>
        </w:tc>
      </w:tr>
    </w:tbl>
    <w:p>
      <w:pPr>
        <w:spacing w:after="140" w:line="276"/>
      </w:pPr>
      <w:r>
        <w:rPr>
          <w:sz w:val="21"/>
          <w:szCs w:val="21"/>
        </w:rPr>
        <w:t xml:space="preserve">Suggested tools: LangGraph or CrewAI, FAISS/Chroma, an embeddings API, Claude/GPT for reasoning, FastAPI for mock systems.</w:t>
      </w:r>
    </w:p>
    <w:p>
      <w:pPr>
        <w:pStyle w:val="Heading2"/>
        <w:spacing w:after="120" w:before="280"/>
      </w:pPr>
      <w:r>
        <w:rPr>
          <w:b/>
          <w:bCs/>
          <w:color w:val="2E7D6B"/>
          <w:sz w:val="24"/>
          <w:szCs w:val="24"/>
        </w:rPr>
        <w:t xml:space="preserve">6.3 Member 3 — Evaluation, Governance &amp; Interface Engineer</w:t>
      </w:r>
    </w:p>
    <w:p>
      <w:pPr>
        <w:spacing w:after="140" w:line="276"/>
      </w:pPr>
      <w:r>
        <w:rPr>
          <w:sz w:val="21"/>
          <w:szCs w:val="21"/>
        </w:rPr>
        <w:t xml:space="preserve">Owns everything downstream of a decision, plus the accountability layer that makes the whole system defensible.</w:t>
      </w:r>
    </w:p>
    <w:p>
      <w:pPr>
        <w:spacing w:after="80" w:before="200"/>
      </w:pPr>
      <w:r>
        <w:rPr>
          <w:b/>
          <w:bCs/>
          <w:color w:val="333333"/>
          <w:sz w:val="22"/>
          <w:szCs w:val="22"/>
        </w:rPr>
        <w:t xml:space="preserve">Responsibilities</w:t>
      </w:r>
    </w:p>
    <w:p>
      <w:pPr>
        <w:pStyle w:val="ListParagraph"/>
        <w:numPr>
          <w:ilvl w:val="0"/>
          <w:numId w:val="3"/>
        </w:numPr>
        <w:spacing w:after="60" w:line="270"/>
      </w:pPr>
      <w:r>
        <w:rPr>
          <w:sz w:val="21"/>
          <w:szCs w:val="21"/>
        </w:rPr>
        <w:t xml:space="preserve">Design and build the escalation router: explicit triggers (low confidence, high claim value, conflicting clauses) and the human reviewer queue.</w:t>
      </w:r>
    </w:p>
    <w:p>
      <w:pPr>
        <w:pStyle w:val="ListParagraph"/>
        <w:numPr>
          <w:ilvl w:val="0"/>
          <w:numId w:val="3"/>
        </w:numPr>
        <w:spacing w:after="60" w:line="270"/>
      </w:pPr>
      <w:r>
        <w:rPr>
          <w:sz w:val="21"/>
          <w:szCs w:val="21"/>
        </w:rPr>
        <w:t xml:space="preserve">Build the immutable audit log (append-only / hash-chained), recording inputs, retrieved clauses, arithmetic, the recommendation, and any human override.</w:t>
      </w:r>
    </w:p>
    <w:p>
      <w:pPr>
        <w:pStyle w:val="ListParagraph"/>
        <w:numPr>
          <w:ilvl w:val="0"/>
          <w:numId w:val="3"/>
        </w:numPr>
        <w:spacing w:after="60" w:line="270"/>
      </w:pPr>
      <w:r>
        <w:rPr>
          <w:sz w:val="21"/>
          <w:szCs w:val="21"/>
        </w:rPr>
        <w:t xml:space="preserve">Build the evaluation harness against a ≥100-case golden set (≥30 adversarial): extraction accuracy, retrieval quality, grounding fidelity, decision accuracy, escalation precision, latency, cost, robustness, fairness.</w:t>
      </w:r>
    </w:p>
    <w:p>
      <w:pPr>
        <w:pStyle w:val="ListParagraph"/>
        <w:numPr>
          <w:ilvl w:val="0"/>
          <w:numId w:val="3"/>
        </w:numPr>
        <w:spacing w:after="60" w:line="270"/>
      </w:pPr>
      <w:r>
        <w:rPr>
          <w:sz w:val="21"/>
          <w:szCs w:val="21"/>
        </w:rPr>
        <w:t xml:space="preserve">Author the one-page deployment note: where the model runs in production, what data crosses which boundary, and the quality/cost trade-off of an India-hosted or open-weight model versus an overseas API.</w:t>
      </w:r>
    </w:p>
    <w:p>
      <w:pPr>
        <w:pStyle w:val="ListParagraph"/>
        <w:numPr>
          <w:ilvl w:val="0"/>
          <w:numId w:val="3"/>
        </w:numPr>
        <w:spacing w:after="60" w:line="270"/>
      </w:pPr>
      <w:r>
        <w:rPr>
          <w:sz w:val="21"/>
          <w:szCs w:val="21"/>
        </w:rPr>
        <w:t xml:space="preserve">Build the demo interface (reviewer queue + audit trail viewer) used for the final presentation.</w:t>
      </w:r>
    </w:p>
    <w:p>
      <w:pPr>
        <w:spacing w:after="80" w:before="200"/>
      </w:pPr>
      <w:r>
        <w:rPr>
          <w:b/>
          <w:bCs/>
          <w:color w:val="333333"/>
          <w:sz w:val="22"/>
          <w:szCs w:val="22"/>
        </w:rPr>
        <w:t xml:space="preserve">Weekly plan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3100"/>
      </w:tblGrid>
      <w:tr>
        <w:trPr>
          <w:tblHeader/>
        </w:trPr>
        <w:tc>
          <w:tcPr>
            <w:tcW w:type="dxa" w:w="900"/>
            <w:shd w:fill="1F4E5F" w:val="clear"/>
            <w:tcMar>
              <w:top w:type="dxa" w:w="80"/>
              <w:left w:type="dxa" w:w="100"/>
              <w:bottom w:type="dxa" w:w="80"/>
              <w:right w:type="dxa" w:w="100"/>
            </w:tcMar>
          </w:tcPr>
          <w:p>
            <w:pPr>
              <w:jc w:val="left"/>
            </w:pPr>
            <w:r>
              <w:rPr>
                <w:b/>
                <w:bCs/>
                <w:color w:val="FFFFFF"/>
                <w:sz w:val="19"/>
                <w:szCs w:val="19"/>
              </w:rPr>
              <w:t xml:space="preserve">Week</w:t>
            </w:r>
          </w:p>
        </w:tc>
        <w:tc>
          <w:tcPr>
            <w:tcW w:type="dxa" w:w="5800"/>
            <w:shd w:fill="1F4E5F" w:val="clear"/>
            <w:tcMar>
              <w:top w:type="dxa" w:w="80"/>
              <w:left w:type="dxa" w:w="100"/>
              <w:bottom w:type="dxa" w:w="80"/>
              <w:right w:type="dxa" w:w="100"/>
            </w:tcMar>
          </w:tcPr>
          <w:p>
            <w:pPr>
              <w:jc w:val="left"/>
            </w:pPr>
            <w:r>
              <w:rPr>
                <w:b/>
                <w:bCs/>
                <w:color w:val="FFFFFF"/>
                <w:sz w:val="19"/>
                <w:szCs w:val="19"/>
              </w:rPr>
              <w:t xml:space="preserve">Task</w:t>
            </w:r>
          </w:p>
        </w:tc>
        <w:tc>
          <w:tcPr>
            <w:tcW w:type="dxa" w:w="3100"/>
            <w:shd w:fill="1F4E5F" w:val="clear"/>
            <w:tcMar>
              <w:top w:type="dxa" w:w="80"/>
              <w:left w:type="dxa" w:w="100"/>
              <w:bottom w:type="dxa" w:w="80"/>
              <w:right w:type="dxa" w:w="100"/>
            </w:tcMar>
          </w:tcPr>
          <w:p>
            <w:pPr>
              <w:jc w:val="left"/>
            </w:pPr>
            <w:r>
              <w:rPr>
                <w:b/>
                <w:bCs/>
                <w:color w:val="FFFFFF"/>
                <w:sz w:val="19"/>
                <w:szCs w:val="19"/>
              </w:rPr>
              <w:t xml:space="preserve">Deliverable</w:t>
            </w:r>
          </w:p>
        </w:tc>
      </w:tr>
      <w:tr>
        <w:tc>
          <w:tcPr>
            <w:tcW w:type="dxa" w:w="900"/>
            <w:shd w:fill="EAF2F1" w:val="clear"/>
            <w:tcMar>
              <w:top w:type="dxa" w:w="80"/>
              <w:left w:type="dxa" w:w="100"/>
              <w:bottom w:type="dxa" w:w="80"/>
              <w:right w:type="dxa" w:w="100"/>
            </w:tcMar>
          </w:tcPr>
          <w:p>
            <w:pPr>
              <w:jc w:val="left"/>
            </w:pPr>
            <w:r>
              <w:rPr>
                <w:b w:val="false"/>
                <w:bCs w:val="false"/>
                <w:color w:val="000000"/>
                <w:sz w:val="19"/>
                <w:szCs w:val="19"/>
              </w:rPr>
              <w:t xml:space="preserve">1–2</w:t>
            </w:r>
          </w:p>
        </w:tc>
        <w:tc>
          <w:tcPr>
            <w:tcW w:type="dxa" w:w="5800"/>
            <w:shd w:fill="EAF2F1" w:val="clear"/>
            <w:tcMar>
              <w:top w:type="dxa" w:w="80"/>
              <w:left w:type="dxa" w:w="100"/>
              <w:bottom w:type="dxa" w:w="80"/>
              <w:right w:type="dxa" w:w="100"/>
            </w:tcMar>
          </w:tcPr>
          <w:p>
            <w:pPr>
              <w:jc w:val="left"/>
            </w:pPr>
            <w:r>
              <w:rPr>
                <w:b w:val="false"/>
                <w:bCs w:val="false"/>
                <w:color w:val="000000"/>
                <w:sz w:val="19"/>
                <w:szCs w:val="19"/>
              </w:rPr>
              <w:t xml:space="preserve">Design DecisionRecord/audit schema jointly with Member 1</w:t>
            </w:r>
          </w:p>
        </w:tc>
        <w:tc>
          <w:tcPr>
            <w:tcW w:type="dxa" w:w="3100"/>
            <w:shd w:fill="EAF2F1" w:val="clear"/>
            <w:tcMar>
              <w:top w:type="dxa" w:w="80"/>
              <w:left w:type="dxa" w:w="100"/>
              <w:bottom w:type="dxa" w:w="80"/>
              <w:right w:type="dxa" w:w="100"/>
            </w:tcMar>
          </w:tcPr>
          <w:p>
            <w:pPr>
              <w:jc w:val="left"/>
            </w:pPr>
            <w:r>
              <w:rPr>
                <w:b w:val="false"/>
                <w:bCs w:val="false"/>
                <w:color w:val="000000"/>
                <w:sz w:val="19"/>
                <w:szCs w:val="19"/>
              </w:rPr>
              <w:t xml:space="preserve">Audit schema v0</w:t>
            </w:r>
          </w:p>
        </w:tc>
      </w:tr>
      <w:tr>
        <w:tc>
          <w:tcPr>
            <w:tcW w:type="dxa" w:w="900"/>
            <w:shd w:fill="FFFFFF" w:val="clear"/>
            <w:tcMar>
              <w:top w:type="dxa" w:w="80"/>
              <w:left w:type="dxa" w:w="100"/>
              <w:bottom w:type="dxa" w:w="80"/>
              <w:right w:type="dxa" w:w="100"/>
            </w:tcMar>
          </w:tcPr>
          <w:p>
            <w:pPr>
              <w:jc w:val="left"/>
            </w:pPr>
            <w:r>
              <w:rPr>
                <w:b w:val="false"/>
                <w:bCs w:val="false"/>
                <w:color w:val="000000"/>
                <w:sz w:val="19"/>
                <w:szCs w:val="19"/>
              </w:rPr>
              <w:t xml:space="preserve">3–4</w:t>
            </w:r>
          </w:p>
        </w:tc>
        <w:tc>
          <w:tcPr>
            <w:tcW w:type="dxa" w:w="5800"/>
            <w:shd w:fill="FFFFFF" w:val="clear"/>
            <w:tcMar>
              <w:top w:type="dxa" w:w="80"/>
              <w:left w:type="dxa" w:w="100"/>
              <w:bottom w:type="dxa" w:w="80"/>
              <w:right w:type="dxa" w:w="100"/>
            </w:tcMar>
          </w:tcPr>
          <w:p>
            <w:pPr>
              <w:jc w:val="left"/>
            </w:pPr>
            <w:r>
              <w:rPr>
                <w:b w:val="false"/>
                <w:bCs w:val="false"/>
                <w:color w:val="000000"/>
                <w:sz w:val="19"/>
                <w:szCs w:val="19"/>
              </w:rPr>
              <w:t xml:space="preserve">Build audit log module (append-only, tamper-evident)</w:t>
            </w:r>
          </w:p>
        </w:tc>
        <w:tc>
          <w:tcPr>
            <w:tcW w:type="dxa" w:w="3100"/>
            <w:shd w:fill="FFFFFF" w:val="clear"/>
            <w:tcMar>
              <w:top w:type="dxa" w:w="80"/>
              <w:left w:type="dxa" w:w="100"/>
              <w:bottom w:type="dxa" w:w="80"/>
              <w:right w:type="dxa" w:w="100"/>
            </w:tcMar>
          </w:tcPr>
          <w:p>
            <w:pPr>
              <w:jc w:val="left"/>
            </w:pPr>
            <w:r>
              <w:rPr>
                <w:b w:val="false"/>
                <w:bCs w:val="false"/>
                <w:color w:val="000000"/>
                <w:sz w:val="19"/>
                <w:szCs w:val="19"/>
              </w:rPr>
              <w:t xml:space="preserve">Audit log module + tests</w:t>
            </w:r>
          </w:p>
        </w:tc>
      </w:tr>
      <w:tr>
        <w:tc>
          <w:tcPr>
            <w:tcW w:type="dxa" w:w="900"/>
            <w:shd w:fill="EAF2F1" w:val="clear"/>
            <w:tcMar>
              <w:top w:type="dxa" w:w="80"/>
              <w:left w:type="dxa" w:w="100"/>
              <w:bottom w:type="dxa" w:w="80"/>
              <w:right w:type="dxa" w:w="100"/>
            </w:tcMar>
          </w:tcPr>
          <w:p>
            <w:pPr>
              <w:jc w:val="left"/>
            </w:pPr>
            <w:r>
              <w:rPr>
                <w:b w:val="false"/>
                <w:bCs w:val="false"/>
                <w:color w:val="000000"/>
                <w:sz w:val="19"/>
                <w:szCs w:val="19"/>
              </w:rPr>
              <w:t xml:space="preserve">5–6</w:t>
            </w:r>
          </w:p>
        </w:tc>
        <w:tc>
          <w:tcPr>
            <w:tcW w:type="dxa" w:w="5800"/>
            <w:shd w:fill="EAF2F1" w:val="clear"/>
            <w:tcMar>
              <w:top w:type="dxa" w:w="80"/>
              <w:left w:type="dxa" w:w="100"/>
              <w:bottom w:type="dxa" w:w="80"/>
              <w:right w:type="dxa" w:w="100"/>
            </w:tcMar>
          </w:tcPr>
          <w:p>
            <w:pPr>
              <w:jc w:val="left"/>
            </w:pPr>
            <w:r>
              <w:rPr>
                <w:b w:val="false"/>
                <w:bCs w:val="false"/>
                <w:color w:val="000000"/>
                <w:sz w:val="19"/>
                <w:szCs w:val="19"/>
              </w:rPr>
              <w:t xml:space="preserve">Design escalation-trigger logic; draft golden test set (100 cases, 30 adversarial)</w:t>
            </w:r>
          </w:p>
        </w:tc>
        <w:tc>
          <w:tcPr>
            <w:tcW w:type="dxa" w:w="3100"/>
            <w:shd w:fill="EAF2F1" w:val="clear"/>
            <w:tcMar>
              <w:top w:type="dxa" w:w="80"/>
              <w:left w:type="dxa" w:w="100"/>
              <w:bottom w:type="dxa" w:w="80"/>
              <w:right w:type="dxa" w:w="100"/>
            </w:tcMar>
          </w:tcPr>
          <w:p>
            <w:pPr>
              <w:jc w:val="left"/>
            </w:pPr>
            <w:r>
              <w:rPr>
                <w:b w:val="false"/>
                <w:bCs w:val="false"/>
                <w:color w:val="000000"/>
                <w:sz w:val="19"/>
                <w:szCs w:val="19"/>
              </w:rPr>
              <w:t xml:space="preserve">Escalation rules + golden set v0</w:t>
            </w:r>
          </w:p>
        </w:tc>
      </w:tr>
      <w:tr>
        <w:tc>
          <w:tcPr>
            <w:tcW w:type="dxa" w:w="900"/>
            <w:shd w:fill="FFFFFF" w:val="clear"/>
            <w:tcMar>
              <w:top w:type="dxa" w:w="80"/>
              <w:left w:type="dxa" w:w="100"/>
              <w:bottom w:type="dxa" w:w="80"/>
              <w:right w:type="dxa" w:w="100"/>
            </w:tcMar>
          </w:tcPr>
          <w:p>
            <w:pPr>
              <w:jc w:val="left"/>
            </w:pPr>
            <w:r>
              <w:rPr>
                <w:b w:val="false"/>
                <w:bCs w:val="false"/>
                <w:color w:val="000000"/>
                <w:sz w:val="19"/>
                <w:szCs w:val="19"/>
              </w:rPr>
              <w:t xml:space="preserve">7–8</w:t>
            </w:r>
          </w:p>
        </w:tc>
        <w:tc>
          <w:tcPr>
            <w:tcW w:type="dxa" w:w="5800"/>
            <w:shd w:fill="FFFFFF" w:val="clear"/>
            <w:tcMar>
              <w:top w:type="dxa" w:w="80"/>
              <w:left w:type="dxa" w:w="100"/>
              <w:bottom w:type="dxa" w:w="80"/>
              <w:right w:type="dxa" w:w="100"/>
            </w:tcMar>
          </w:tcPr>
          <w:p>
            <w:pPr>
              <w:jc w:val="left"/>
            </w:pPr>
            <w:r>
              <w:rPr>
                <w:b w:val="false"/>
                <w:bCs w:val="false"/>
                <w:color w:val="000000"/>
                <w:sz w:val="19"/>
                <w:szCs w:val="19"/>
              </w:rPr>
              <w:t xml:space="preserve">Wire escalation router into the orchestration graph (integration week)</w:t>
            </w:r>
          </w:p>
        </w:tc>
        <w:tc>
          <w:tcPr>
            <w:tcW w:type="dxa" w:w="3100"/>
            <w:shd w:fill="FFFFFF" w:val="clear"/>
            <w:tcMar>
              <w:top w:type="dxa" w:w="80"/>
              <w:left w:type="dxa" w:w="100"/>
              <w:bottom w:type="dxa" w:w="80"/>
              <w:right w:type="dxa" w:w="100"/>
            </w:tcMar>
          </w:tcPr>
          <w:p>
            <w:pPr>
              <w:jc w:val="left"/>
            </w:pPr>
            <w:r>
              <w:rPr>
                <w:b w:val="false"/>
                <w:bCs w:val="false"/>
                <w:color w:val="000000"/>
                <w:sz w:val="19"/>
                <w:szCs w:val="19"/>
              </w:rPr>
              <w:t xml:space="preserve">Working end-to-end router</w:t>
            </w:r>
          </w:p>
        </w:tc>
      </w:tr>
      <w:tr>
        <w:tc>
          <w:tcPr>
            <w:tcW w:type="dxa" w:w="900"/>
            <w:shd w:fill="EAF2F1" w:val="clear"/>
            <w:tcMar>
              <w:top w:type="dxa" w:w="80"/>
              <w:left w:type="dxa" w:w="100"/>
              <w:bottom w:type="dxa" w:w="80"/>
              <w:right w:type="dxa" w:w="100"/>
            </w:tcMar>
          </w:tcPr>
          <w:p>
            <w:pPr>
              <w:jc w:val="left"/>
            </w:pPr>
            <w:r>
              <w:rPr>
                <w:b w:val="false"/>
                <w:bCs w:val="false"/>
                <w:color w:val="000000"/>
                <w:sz w:val="19"/>
                <w:szCs w:val="19"/>
              </w:rPr>
              <w:t xml:space="preserve">9–10</w:t>
            </w:r>
          </w:p>
        </w:tc>
        <w:tc>
          <w:tcPr>
            <w:tcW w:type="dxa" w:w="5800"/>
            <w:shd w:fill="EAF2F1" w:val="clear"/>
            <w:tcMar>
              <w:top w:type="dxa" w:w="80"/>
              <w:left w:type="dxa" w:w="100"/>
              <w:bottom w:type="dxa" w:w="80"/>
              <w:right w:type="dxa" w:w="100"/>
            </w:tcMar>
          </w:tcPr>
          <w:p>
            <w:pPr>
              <w:jc w:val="left"/>
            </w:pPr>
            <w:r>
              <w:rPr>
                <w:b w:val="false"/>
                <w:bCs w:val="false"/>
                <w:color w:val="000000"/>
                <w:sz w:val="19"/>
                <w:szCs w:val="19"/>
              </w:rPr>
              <w:t xml:space="preserve">Build evaluation harness; run full rubric scoring; fairness perturbation tests</w:t>
            </w:r>
          </w:p>
        </w:tc>
        <w:tc>
          <w:tcPr>
            <w:tcW w:type="dxa" w:w="3100"/>
            <w:shd w:fill="EAF2F1" w:val="clear"/>
            <w:tcMar>
              <w:top w:type="dxa" w:w="80"/>
              <w:left w:type="dxa" w:w="100"/>
              <w:bottom w:type="dxa" w:w="80"/>
              <w:right w:type="dxa" w:w="100"/>
            </w:tcMar>
          </w:tcPr>
          <w:p>
            <w:pPr>
              <w:jc w:val="left"/>
            </w:pPr>
            <w:r>
              <w:rPr>
                <w:b w:val="false"/>
                <w:bCs w:val="false"/>
                <w:color w:val="000000"/>
                <w:sz w:val="19"/>
                <w:szCs w:val="19"/>
              </w:rPr>
              <w:t xml:space="preserve">Scorecard report across all 9 rubric dimensions</w:t>
            </w:r>
          </w:p>
        </w:tc>
      </w:tr>
      <w:tr>
        <w:tc>
          <w:tcPr>
            <w:tcW w:type="dxa" w:w="900"/>
            <w:shd w:fill="FFFFFF" w:val="clear"/>
            <w:tcMar>
              <w:top w:type="dxa" w:w="80"/>
              <w:left w:type="dxa" w:w="100"/>
              <w:bottom w:type="dxa" w:w="80"/>
              <w:right w:type="dxa" w:w="100"/>
            </w:tcMar>
          </w:tcPr>
          <w:p>
            <w:pPr>
              <w:jc w:val="left"/>
            </w:pPr>
            <w:r>
              <w:rPr>
                <w:b w:val="false"/>
                <w:bCs w:val="false"/>
                <w:color w:val="000000"/>
                <w:sz w:val="19"/>
                <w:szCs w:val="19"/>
              </w:rPr>
              <w:t xml:space="preserve">11–12</w:t>
            </w:r>
          </w:p>
        </w:tc>
        <w:tc>
          <w:tcPr>
            <w:tcW w:type="dxa" w:w="5800"/>
            <w:shd w:fill="FFFFFF" w:val="clear"/>
            <w:tcMar>
              <w:top w:type="dxa" w:w="80"/>
              <w:left w:type="dxa" w:w="100"/>
              <w:bottom w:type="dxa" w:w="80"/>
              <w:right w:type="dxa" w:w="100"/>
            </w:tcMar>
          </w:tcPr>
          <w:p>
            <w:pPr>
              <w:jc w:val="left"/>
            </w:pPr>
            <w:r>
              <w:rPr>
                <w:b w:val="false"/>
                <w:bCs w:val="false"/>
                <w:color w:val="000000"/>
                <w:sz w:val="19"/>
                <w:szCs w:val="19"/>
              </w:rPr>
              <w:t xml:space="preserve">Deployment note, demo UI, final report assembly, rehearsal</w:t>
            </w:r>
          </w:p>
        </w:tc>
        <w:tc>
          <w:tcPr>
            <w:tcW w:type="dxa" w:w="3100"/>
            <w:shd w:fill="FFFFFF" w:val="clear"/>
            <w:tcMar>
              <w:top w:type="dxa" w:w="80"/>
              <w:left w:type="dxa" w:w="100"/>
              <w:bottom w:type="dxa" w:w="80"/>
              <w:right w:type="dxa" w:w="100"/>
            </w:tcMar>
          </w:tcPr>
          <w:p>
            <w:pPr>
              <w:jc w:val="left"/>
            </w:pPr>
            <w:r>
              <w:rPr>
                <w:b w:val="false"/>
                <w:bCs w:val="false"/>
                <w:color w:val="000000"/>
                <w:sz w:val="19"/>
                <w:szCs w:val="19"/>
              </w:rPr>
              <w:t xml:space="preserve">Deployment note, demo, final submission</w:t>
            </w:r>
          </w:p>
        </w:tc>
      </w:tr>
    </w:tbl>
    <w:p>
      <w:pPr>
        <w:spacing w:after="140" w:line="276"/>
      </w:pPr>
      <w:r>
        <w:rPr>
          <w:sz w:val="21"/>
          <w:szCs w:val="21"/>
        </w:rPr>
        <w:t xml:space="preserve">Suggested tools: pytest, pandas, SQLite or hash-chained JSONL, Streamlit or FastAPI+React.</w:t>
      </w:r>
    </w:p>
    <w:p>
      <w:pPr>
        <w:pStyle w:val="Heading1"/>
        <w:pBdr>
          <w:bottom w:val="single" w:color="1F4E5F" w:sz="8" w:space="4"/>
        </w:pBdr>
        <w:spacing w:after="160" w:before="360"/>
      </w:pPr>
      <w:r>
        <w:rPr>
          <w:b/>
          <w:bCs/>
          <w:color w:val="1F4E5F"/>
          <w:sz w:val="30"/>
          <w:szCs w:val="30"/>
        </w:rPr>
        <w:t xml:space="preserve">7. Outcome</w:t>
      </w:r>
    </w:p>
    <w:p>
      <w:pPr>
        <w:spacing w:after="140" w:line="276"/>
      </w:pPr>
      <w:r>
        <w:rPr>
          <w:sz w:val="21"/>
          <w:szCs w:val="21"/>
        </w:rPr>
        <w:t xml:space="preserve">Success is measured the same way an insurer's risk and operations committees would measure it:</w:t>
      </w:r>
    </w:p>
    <w:p>
      <w:pPr>
        <w:pStyle w:val="ListParagraph"/>
        <w:numPr>
          <w:ilvl w:val="0"/>
          <w:numId w:val="3"/>
        </w:numPr>
        <w:spacing w:after="60" w:line="270"/>
      </w:pPr>
      <w:r>
        <w:rPr>
          <w:sz w:val="21"/>
          <w:szCs w:val="21"/>
        </w:rPr>
        <w:t xml:space="preserve">Turnaround compliance — share of pre-auth recommendations produced inside the 60-minute window (the metric with direct regulatory impact).</w:t>
      </w:r>
    </w:p>
    <w:p>
      <w:pPr>
        <w:pStyle w:val="ListParagraph"/>
        <w:numPr>
          <w:ilvl w:val="0"/>
          <w:numId w:val="3"/>
        </w:numPr>
        <w:spacing w:after="60" w:line="270"/>
      </w:pPr>
      <w:r>
        <w:rPr>
          <w:sz w:val="21"/>
          <w:szCs w:val="21"/>
        </w:rPr>
        <w:t xml:space="preserve">First-touch handling time reduced 30–50% on a fixed claim mix, before vs. after.</w:t>
      </w:r>
    </w:p>
    <w:p>
      <w:pPr>
        <w:pStyle w:val="ListParagraph"/>
        <w:numPr>
          <w:ilvl w:val="0"/>
          <w:numId w:val="3"/>
        </w:numPr>
        <w:spacing w:after="60" w:line="270"/>
      </w:pPr>
      <w:r>
        <w:rPr>
          <w:sz w:val="21"/>
          <w:szCs w:val="21"/>
        </w:rPr>
        <w:t xml:space="preserve">A defined band of low-value, low-complexity claims handled straight-through with only a human spot-check.</w:t>
      </w:r>
    </w:p>
    <w:p>
      <w:pPr>
        <w:pStyle w:val="ListParagraph"/>
        <w:numPr>
          <w:ilvl w:val="0"/>
          <w:numId w:val="3"/>
        </w:numPr>
        <w:spacing w:after="60" w:line="270"/>
      </w:pPr>
      <w:r>
        <w:rPr>
          <w:sz w:val="21"/>
          <w:szCs w:val="21"/>
        </w:rPr>
        <w:t xml:space="preserve">One-and-done document requests — completeness gaps identified in a single query instead of two or three rounds.</w:t>
      </w:r>
    </w:p>
    <w:p>
      <w:pPr>
        <w:pStyle w:val="ListParagraph"/>
        <w:numPr>
          <w:ilvl w:val="0"/>
          <w:numId w:val="3"/>
        </w:numPr>
        <w:spacing w:after="60" w:line="270"/>
      </w:pPr>
      <w:r>
        <w:rPr>
          <w:sz w:val="21"/>
          <w:szCs w:val="21"/>
        </w:rPr>
        <w:t xml:space="preserve">Decision consistency — reduced variance in recommendations across the same scenario set.</w:t>
      </w:r>
    </w:p>
    <w:p>
      <w:pPr>
        <w:pStyle w:val="ListParagraph"/>
        <w:numPr>
          <w:ilvl w:val="0"/>
          <w:numId w:val="3"/>
        </w:numPr>
        <w:spacing w:after="60" w:line="270"/>
      </w:pPr>
      <w:r>
        <w:rPr>
          <w:sz w:val="21"/>
          <w:szCs w:val="21"/>
        </w:rPr>
        <w:t xml:space="preserve">Leakage reduction — sub-limits, capping and exclusions applied correctly under time pressure.</w:t>
      </w:r>
    </w:p>
    <w:p>
      <w:pPr>
        <w:pStyle w:val="ListParagraph"/>
        <w:numPr>
          <w:ilvl w:val="0"/>
          <w:numId w:val="3"/>
        </w:numPr>
        <w:spacing w:after="60" w:line="270"/>
      </w:pPr>
      <w:r>
        <w:rPr>
          <w:sz w:val="21"/>
          <w:szCs w:val="21"/>
        </w:rPr>
        <w:t xml:space="preserve">Auditability — 100% of deductions carry a clause-level citation; a fabricated or misattributed citation is a critical failure, not a minor one.</w:t>
      </w:r>
    </w:p>
    <w:p>
      <w:pPr>
        <w:pStyle w:val="Heading1"/>
        <w:pBdr>
          <w:bottom w:val="single" w:color="1F4E5F" w:sz="8" w:space="4"/>
        </w:pBdr>
        <w:spacing w:after="160" w:before="360"/>
      </w:pPr>
      <w:r>
        <w:rPr>
          <w:b/>
          <w:bCs/>
          <w:color w:val="1F4E5F"/>
          <w:sz w:val="30"/>
          <w:szCs w:val="30"/>
        </w:rPr>
        <w:t xml:space="preserve">8. Governance Guardrails (mandatory)</w:t>
      </w:r>
    </w:p>
    <w:p>
      <w:pPr>
        <w:spacing w:after="140" w:line="276"/>
      </w:pPr>
      <w:r>
        <w:rPr>
          <w:sz w:val="21"/>
          <w:szCs w:val="21"/>
        </w:rPr>
        <w:t xml:space="preserve">These apply to every one of the 17 capstone teams and are graded, not optional framing:</w:t>
      </w:r>
    </w:p>
    <w:p>
      <w:pPr>
        <w:pStyle w:val="ListParagraph"/>
        <w:numPr>
          <w:ilvl w:val="0"/>
          <w:numId w:val="2"/>
        </w:numPr>
        <w:spacing w:after="60" w:line="270"/>
      </w:pPr>
      <w:r>
        <w:rPr>
          <w:sz w:val="21"/>
          <w:szCs w:val="21"/>
        </w:rPr>
        <w:t xml:space="preserve">Recommend, never decide — the agent never auto-authorises or auto-denies. Be ready to explain why this is both the safe and the regulatorily coherent design.</w:t>
      </w:r>
    </w:p>
    <w:p>
      <w:pPr>
        <w:pStyle w:val="ListParagraph"/>
        <w:numPr>
          <w:ilvl w:val="0"/>
          <w:numId w:val="2"/>
        </w:numPr>
        <w:spacing w:after="60" w:line="270"/>
      </w:pPr>
      <w:r>
        <w:rPr>
          <w:sz w:val="21"/>
          <w:szCs w:val="21"/>
        </w:rPr>
        <w:t xml:space="preserve">Grounded output or no output — every coverage conclusion or deduction cites a retrieved clause or source page; a fabricated citation is a critical failure.</w:t>
      </w:r>
    </w:p>
    <w:p>
      <w:pPr>
        <w:pStyle w:val="ListParagraph"/>
        <w:numPr>
          <w:ilvl w:val="0"/>
          <w:numId w:val="2"/>
        </w:numPr>
        <w:spacing w:after="60" w:line="270"/>
      </w:pPr>
      <w:r>
        <w:rPr>
          <w:sz w:val="21"/>
          <w:szCs w:val="21"/>
        </w:rPr>
        <w:t xml:space="preserve">Synthetic data only — no real policyholder or claimant data, under any circumstances; document the generator.</w:t>
      </w:r>
    </w:p>
    <w:p>
      <w:pPr>
        <w:pStyle w:val="ListParagraph"/>
        <w:numPr>
          <w:ilvl w:val="0"/>
          <w:numId w:val="2"/>
        </w:numPr>
        <w:spacing w:after="60" w:line="270"/>
      </w:pPr>
      <w:r>
        <w:rPr>
          <w:sz w:val="21"/>
          <w:szCs w:val="21"/>
        </w:rPr>
        <w:t xml:space="preserve">Deployment note — a one-page analysis of where the model runs, what data crosses which boundary, and the cost of an India-hosted or open-weight alternative.</w:t>
      </w:r>
    </w:p>
    <w:p>
      <w:pPr>
        <w:pStyle w:val="ListParagraph"/>
        <w:numPr>
          <w:ilvl w:val="0"/>
          <w:numId w:val="2"/>
        </w:numPr>
        <w:spacing w:after="60" w:line="270"/>
      </w:pPr>
      <w:r>
        <w:rPr>
          <w:sz w:val="21"/>
          <w:szCs w:val="21"/>
        </w:rPr>
        <w:t xml:space="preserve">Fairness — decisions rest only on risk-relevant, cited rules, never on proxies for religion, caste, region or gender inferred from name, address or PIN code.</w:t>
      </w:r>
    </w:p>
    <w:p>
      <w:pPr>
        <w:pStyle w:val="ListParagraph"/>
        <w:numPr>
          <w:ilvl w:val="0"/>
          <w:numId w:val="2"/>
        </w:numPr>
        <w:spacing w:after="60" w:line="270"/>
      </w:pPr>
      <w:r>
        <w:rPr>
          <w:sz w:val="21"/>
          <w:szCs w:val="21"/>
        </w:rPr>
        <w:t xml:space="preserve">Cite the live text — every regulatory claim cites the current instrument on irdai.gov.in with its date; working from a stale summary (including this brief) is itself an error.</w:t>
      </w:r>
    </w:p>
    <w:p>
      <w:pPr>
        <w:pStyle w:val="ListParagraph"/>
        <w:numPr>
          <w:ilvl w:val="0"/>
          <w:numId w:val="2"/>
        </w:numPr>
        <w:spacing w:after="60" w:line="270"/>
      </w:pPr>
      <w:r>
        <w:rPr>
          <w:sz w:val="21"/>
          <w:szCs w:val="21"/>
        </w:rPr>
        <w:t xml:space="preserve">Human-in-the-loop — define explicitly what triggers escalation, what the human reviewer sees, and how a human override is captured for future improvement.</w:t>
      </w:r>
    </w:p>
    <w:p>
      <w:pPr>
        <w:pStyle w:val="Heading1"/>
        <w:pBdr>
          <w:bottom w:val="single" w:color="1F4E5F" w:sz="8" w:space="4"/>
        </w:pBdr>
        <w:spacing w:after="160" w:before="360"/>
      </w:pPr>
      <w:r>
        <w:rPr>
          <w:b/>
          <w:bCs/>
          <w:color w:val="1F4E5F"/>
          <w:sz w:val="30"/>
          <w:szCs w:val="30"/>
        </w:rPr>
        <w:t xml:space="preserve">9. Evaluation Rubric</w:t>
      </w:r>
    </w:p>
    <w:p>
      <w:pPr>
        <w:spacing w:after="140" w:line="276"/>
      </w:pPr>
      <w:r>
        <w:rPr>
          <w:sz w:val="21"/>
          <w:szCs w:val="21"/>
        </w:rPr>
        <w:t xml:space="preserve">Report all nine numbers on a shared golden test set of at least 100 cases, of which at least 30 are deliberately adversarial: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4E5F" w:val="clear"/>
            <w:tcMar>
              <w:top w:type="dxa" w:w="80"/>
              <w:left w:type="dxa" w:w="100"/>
              <w:bottom w:type="dxa" w:w="80"/>
              <w:right w:type="dxa" w:w="100"/>
            </w:tcMar>
          </w:tcPr>
          <w:p>
            <w:pPr>
              <w:jc w:val="left"/>
            </w:pPr>
            <w:r>
              <w:rPr>
                <w:b/>
                <w:bCs/>
                <w:color w:val="FFFFFF"/>
                <w:sz w:val="19"/>
                <w:szCs w:val="19"/>
              </w:rPr>
              <w:t xml:space="preserve">Dimension</w:t>
            </w:r>
          </w:p>
        </w:tc>
        <w:tc>
          <w:tcPr>
            <w:tcW w:type="dxa" w:w="6600"/>
            <w:shd w:fill="1F4E5F" w:val="clear"/>
            <w:tcMar>
              <w:top w:type="dxa" w:w="80"/>
              <w:left w:type="dxa" w:w="100"/>
              <w:bottom w:type="dxa" w:w="80"/>
              <w:right w:type="dxa" w:w="100"/>
            </w:tcMar>
          </w:tcPr>
          <w:p>
            <w:pPr>
              <w:jc w:val="left"/>
            </w:pPr>
            <w:r>
              <w:rPr>
                <w:b/>
                <w:bCs/>
                <w:color w:val="FFFFFF"/>
                <w:sz w:val="19"/>
                <w:szCs w:val="19"/>
              </w:rPr>
              <w:t xml:space="preserve">What to measure</w:t>
            </w:r>
          </w:p>
        </w:tc>
      </w:tr>
      <w:tr>
        <w:tc>
          <w:tcPr>
            <w:tcW w:type="dxa" w:w="2600"/>
            <w:shd w:fill="EAF2F1" w:val="clear"/>
            <w:tcMar>
              <w:top w:type="dxa" w:w="80"/>
              <w:left w:type="dxa" w:w="100"/>
              <w:bottom w:type="dxa" w:w="80"/>
              <w:right w:type="dxa" w:w="100"/>
            </w:tcMar>
          </w:tcPr>
          <w:p>
            <w:pPr>
              <w:jc w:val="left"/>
            </w:pPr>
            <w:r>
              <w:rPr>
                <w:b w:val="false"/>
                <w:bCs w:val="false"/>
                <w:color w:val="000000"/>
                <w:sz w:val="19"/>
                <w:szCs w:val="19"/>
              </w:rPr>
              <w:t xml:space="preserve">Extraction accuracy</w:t>
            </w:r>
          </w:p>
        </w:tc>
        <w:tc>
          <w:tcPr>
            <w:tcW w:type="dxa" w:w="6600"/>
            <w:shd w:fill="EAF2F1" w:val="clear"/>
            <w:tcMar>
              <w:top w:type="dxa" w:w="80"/>
              <w:left w:type="dxa" w:w="100"/>
              <w:bottom w:type="dxa" w:w="80"/>
              <w:right w:type="dxa" w:w="100"/>
            </w:tcMar>
          </w:tcPr>
          <w:p>
            <w:pPr>
              <w:jc w:val="left"/>
            </w:pPr>
            <w:r>
              <w:rPr>
                <w:b w:val="false"/>
                <w:bCs w:val="false"/>
                <w:color w:val="000000"/>
                <w:sz w:val="19"/>
                <w:szCs w:val="19"/>
              </w:rPr>
              <w:t xml:space="preserve">Field-level precision and recall on the structured record</w:t>
            </w:r>
          </w:p>
        </w:tc>
      </w:tr>
      <w:tr>
        <w:tc>
          <w:tcPr>
            <w:tcW w:type="dxa" w:w="2600"/>
            <w:shd w:fill="FFFFFF" w:val="clear"/>
            <w:tcMar>
              <w:top w:type="dxa" w:w="80"/>
              <w:left w:type="dxa" w:w="100"/>
              <w:bottom w:type="dxa" w:w="80"/>
              <w:right w:type="dxa" w:w="100"/>
            </w:tcMar>
          </w:tcPr>
          <w:p>
            <w:pPr>
              <w:jc w:val="left"/>
            </w:pPr>
            <w:r>
              <w:rPr>
                <w:b w:val="false"/>
                <w:bCs w:val="false"/>
                <w:color w:val="000000"/>
                <w:sz w:val="19"/>
                <w:szCs w:val="19"/>
              </w:rPr>
              <w:t xml:space="preserve">Retrieval quality</w:t>
            </w:r>
          </w:p>
        </w:tc>
        <w:tc>
          <w:tcPr>
            <w:tcW w:type="dxa" w:w="6600"/>
            <w:shd w:fill="FFFFFF" w:val="clear"/>
            <w:tcMar>
              <w:top w:type="dxa" w:w="80"/>
              <w:left w:type="dxa" w:w="100"/>
              <w:bottom w:type="dxa" w:w="80"/>
              <w:right w:type="dxa" w:w="100"/>
            </w:tcMar>
          </w:tcPr>
          <w:p>
            <w:pPr>
              <w:jc w:val="left"/>
            </w:pPr>
            <w:r>
              <w:rPr>
                <w:b w:val="false"/>
                <w:bCs w:val="false"/>
                <w:color w:val="000000"/>
                <w:sz w:val="19"/>
                <w:szCs w:val="19"/>
              </w:rPr>
              <w:t xml:space="preserve">Was the governing clause actually retrieved? Recall@k</w:t>
            </w:r>
          </w:p>
        </w:tc>
      </w:tr>
      <w:tr>
        <w:tc>
          <w:tcPr>
            <w:tcW w:type="dxa" w:w="2600"/>
            <w:shd w:fill="EAF2F1" w:val="clear"/>
            <w:tcMar>
              <w:top w:type="dxa" w:w="80"/>
              <w:left w:type="dxa" w:w="100"/>
              <w:bottom w:type="dxa" w:w="80"/>
              <w:right w:type="dxa" w:w="100"/>
            </w:tcMar>
          </w:tcPr>
          <w:p>
            <w:pPr>
              <w:jc w:val="left"/>
            </w:pPr>
            <w:r>
              <w:rPr>
                <w:b w:val="false"/>
                <w:bCs w:val="false"/>
                <w:color w:val="000000"/>
                <w:sz w:val="19"/>
                <w:szCs w:val="19"/>
              </w:rPr>
              <w:t xml:space="preserve">Grounding fidelity</w:t>
            </w:r>
          </w:p>
        </w:tc>
        <w:tc>
          <w:tcPr>
            <w:tcW w:type="dxa" w:w="6600"/>
            <w:shd w:fill="EAF2F1" w:val="clear"/>
            <w:tcMar>
              <w:top w:type="dxa" w:w="80"/>
              <w:left w:type="dxa" w:w="100"/>
              <w:bottom w:type="dxa" w:w="80"/>
              <w:right w:type="dxa" w:w="100"/>
            </w:tcMar>
          </w:tcPr>
          <w:p>
            <w:pPr>
              <w:jc w:val="left"/>
            </w:pPr>
            <w:r>
              <w:rPr>
                <w:b w:val="false"/>
                <w:bCs w:val="false"/>
                <w:color w:val="000000"/>
                <w:sz w:val="19"/>
                <w:szCs w:val="19"/>
              </w:rPr>
              <w:t xml:space="preserve">% of assertions traceable to a real source; hallucinated-citation rate</w:t>
            </w:r>
          </w:p>
        </w:tc>
      </w:tr>
      <w:tr>
        <w:tc>
          <w:tcPr>
            <w:tcW w:type="dxa" w:w="2600"/>
            <w:shd w:fill="FFFFFF" w:val="clear"/>
            <w:tcMar>
              <w:top w:type="dxa" w:w="80"/>
              <w:left w:type="dxa" w:w="100"/>
              <w:bottom w:type="dxa" w:w="80"/>
              <w:right w:type="dxa" w:w="100"/>
            </w:tcMar>
          </w:tcPr>
          <w:p>
            <w:pPr>
              <w:jc w:val="left"/>
            </w:pPr>
            <w:r>
              <w:rPr>
                <w:b w:val="false"/>
                <w:bCs w:val="false"/>
                <w:color w:val="000000"/>
                <w:sz w:val="19"/>
                <w:szCs w:val="19"/>
              </w:rPr>
              <w:t xml:space="preserve">Decision accuracy</w:t>
            </w:r>
          </w:p>
        </w:tc>
        <w:tc>
          <w:tcPr>
            <w:tcW w:type="dxa" w:w="6600"/>
            <w:shd w:fill="FFFFFF" w:val="clear"/>
            <w:tcMar>
              <w:top w:type="dxa" w:w="80"/>
              <w:left w:type="dxa" w:w="100"/>
              <w:bottom w:type="dxa" w:w="80"/>
              <w:right w:type="dxa" w:w="100"/>
            </w:tcMar>
          </w:tcPr>
          <w:p>
            <w:pPr>
              <w:jc w:val="left"/>
            </w:pPr>
            <w:r>
              <w:rPr>
                <w:b w:val="false"/>
                <w:bCs w:val="false"/>
                <w:color w:val="000000"/>
                <w:sz w:val="19"/>
                <w:szCs w:val="19"/>
              </w:rPr>
              <w:t xml:space="preserve">Agreement with the expert-labelled ground truth</w:t>
            </w:r>
          </w:p>
        </w:tc>
      </w:tr>
      <w:tr>
        <w:tc>
          <w:tcPr>
            <w:tcW w:type="dxa" w:w="2600"/>
            <w:shd w:fill="EAF2F1" w:val="clear"/>
            <w:tcMar>
              <w:top w:type="dxa" w:w="80"/>
              <w:left w:type="dxa" w:w="100"/>
              <w:bottom w:type="dxa" w:w="80"/>
              <w:right w:type="dxa" w:w="100"/>
            </w:tcMar>
          </w:tcPr>
          <w:p>
            <w:pPr>
              <w:jc w:val="left"/>
            </w:pPr>
            <w:r>
              <w:rPr>
                <w:b w:val="false"/>
                <w:bCs w:val="false"/>
                <w:color w:val="000000"/>
                <w:sz w:val="19"/>
                <w:szCs w:val="19"/>
              </w:rPr>
              <w:t xml:space="preserve">Escalation precision</w:t>
            </w:r>
          </w:p>
        </w:tc>
        <w:tc>
          <w:tcPr>
            <w:tcW w:type="dxa" w:w="6600"/>
            <w:shd w:fill="EAF2F1" w:val="clear"/>
            <w:tcMar>
              <w:top w:type="dxa" w:w="80"/>
              <w:left w:type="dxa" w:w="100"/>
              <w:bottom w:type="dxa" w:w="80"/>
              <w:right w:type="dxa" w:w="100"/>
            </w:tcMar>
          </w:tcPr>
          <w:p>
            <w:pPr>
              <w:jc w:val="left"/>
            </w:pPr>
            <w:r>
              <w:rPr>
                <w:b w:val="false"/>
                <w:bCs w:val="false"/>
                <w:color w:val="000000"/>
                <w:sz w:val="19"/>
                <w:szCs w:val="19"/>
              </w:rPr>
              <w:t xml:space="preserve">Did it escalate what it should, and only that?</w:t>
            </w:r>
          </w:p>
        </w:tc>
      </w:tr>
      <w:tr>
        <w:tc>
          <w:tcPr>
            <w:tcW w:type="dxa" w:w="2600"/>
            <w:shd w:fill="FFFFFF" w:val="clear"/>
            <w:tcMar>
              <w:top w:type="dxa" w:w="80"/>
              <w:left w:type="dxa" w:w="100"/>
              <w:bottom w:type="dxa" w:w="80"/>
              <w:right w:type="dxa" w:w="100"/>
            </w:tcMar>
          </w:tcPr>
          <w:p>
            <w:pPr>
              <w:jc w:val="left"/>
            </w:pPr>
            <w:r>
              <w:rPr>
                <w:b w:val="false"/>
                <w:bCs w:val="false"/>
                <w:color w:val="000000"/>
                <w:sz w:val="19"/>
                <w:szCs w:val="19"/>
              </w:rPr>
              <w:t xml:space="preserve">Latency</w:t>
            </w:r>
          </w:p>
        </w:tc>
        <w:tc>
          <w:tcPr>
            <w:tcW w:type="dxa" w:w="6600"/>
            <w:shd w:fill="FFFFFF" w:val="clear"/>
            <w:tcMar>
              <w:top w:type="dxa" w:w="80"/>
              <w:left w:type="dxa" w:w="100"/>
              <w:bottom w:type="dxa" w:w="80"/>
              <w:right w:type="dxa" w:w="100"/>
            </w:tcMar>
          </w:tcPr>
          <w:p>
            <w:pPr>
              <w:jc w:val="left"/>
            </w:pPr>
            <w:r>
              <w:rPr>
                <w:b w:val="false"/>
                <w:bCs w:val="false"/>
                <w:color w:val="000000"/>
                <w:sz w:val="19"/>
                <w:szCs w:val="19"/>
              </w:rPr>
              <w:t xml:space="preserve">End-to-end time, against the 1-hour / 3-hour regulatory clock</w:t>
            </w:r>
          </w:p>
        </w:tc>
      </w:tr>
      <w:tr>
        <w:tc>
          <w:tcPr>
            <w:tcW w:type="dxa" w:w="2600"/>
            <w:shd w:fill="EAF2F1" w:val="clear"/>
            <w:tcMar>
              <w:top w:type="dxa" w:w="80"/>
              <w:left w:type="dxa" w:w="100"/>
              <w:bottom w:type="dxa" w:w="80"/>
              <w:right w:type="dxa" w:w="100"/>
            </w:tcMar>
          </w:tcPr>
          <w:p>
            <w:pPr>
              <w:jc w:val="left"/>
            </w:pPr>
            <w:r>
              <w:rPr>
                <w:b w:val="false"/>
                <w:bCs w:val="false"/>
                <w:color w:val="000000"/>
                <w:sz w:val="19"/>
                <w:szCs w:val="19"/>
              </w:rPr>
              <w:t xml:space="preserve">Cost</w:t>
            </w:r>
          </w:p>
        </w:tc>
        <w:tc>
          <w:tcPr>
            <w:tcW w:type="dxa" w:w="6600"/>
            <w:shd w:fill="EAF2F1" w:val="clear"/>
            <w:tcMar>
              <w:top w:type="dxa" w:w="80"/>
              <w:left w:type="dxa" w:w="100"/>
              <w:bottom w:type="dxa" w:w="80"/>
              <w:right w:type="dxa" w:w="100"/>
            </w:tcMar>
          </w:tcPr>
          <w:p>
            <w:pPr>
              <w:jc w:val="left"/>
            </w:pPr>
            <w:r>
              <w:rPr>
                <w:b w:val="false"/>
                <w:bCs w:val="false"/>
                <w:color w:val="000000"/>
                <w:sz w:val="19"/>
                <w:szCs w:val="19"/>
              </w:rPr>
              <w:t xml:space="preserve">Tokens and rupees per transaction — decides viability at Indian claim volumes</w:t>
            </w:r>
          </w:p>
        </w:tc>
      </w:tr>
      <w:tr>
        <w:tc>
          <w:tcPr>
            <w:tcW w:type="dxa" w:w="2600"/>
            <w:shd w:fill="FFFFFF" w:val="clear"/>
            <w:tcMar>
              <w:top w:type="dxa" w:w="80"/>
              <w:left w:type="dxa" w:w="100"/>
              <w:bottom w:type="dxa" w:w="80"/>
              <w:right w:type="dxa" w:w="100"/>
            </w:tcMar>
          </w:tcPr>
          <w:p>
            <w:pPr>
              <w:jc w:val="left"/>
            </w:pPr>
            <w:r>
              <w:rPr>
                <w:b w:val="false"/>
                <w:bCs w:val="false"/>
                <w:color w:val="000000"/>
                <w:sz w:val="19"/>
                <w:szCs w:val="19"/>
              </w:rPr>
              <w:t xml:space="preserve">Robustness</w:t>
            </w:r>
          </w:p>
        </w:tc>
        <w:tc>
          <w:tcPr>
            <w:tcW w:type="dxa" w:w="6600"/>
            <w:shd w:fill="FFFFFF" w:val="clear"/>
            <w:tcMar>
              <w:top w:type="dxa" w:w="80"/>
              <w:left w:type="dxa" w:w="100"/>
              <w:bottom w:type="dxa" w:w="80"/>
              <w:right w:type="dxa" w:w="100"/>
            </w:tcMar>
          </w:tcPr>
          <w:p>
            <w:pPr>
              <w:jc w:val="left"/>
            </w:pPr>
            <w:r>
              <w:rPr>
                <w:b w:val="false"/>
                <w:bCs w:val="false"/>
                <w:color w:val="000000"/>
                <w:sz w:val="19"/>
                <w:szCs w:val="19"/>
              </w:rPr>
              <w:t xml:space="preserve">Behaviour on malformed, adversarial and out-of-distribution input</w:t>
            </w:r>
          </w:p>
        </w:tc>
      </w:tr>
      <w:tr>
        <w:tc>
          <w:tcPr>
            <w:tcW w:type="dxa" w:w="2600"/>
            <w:shd w:fill="EAF2F1" w:val="clear"/>
            <w:tcMar>
              <w:top w:type="dxa" w:w="80"/>
              <w:left w:type="dxa" w:w="100"/>
              <w:bottom w:type="dxa" w:w="80"/>
              <w:right w:type="dxa" w:w="100"/>
            </w:tcMar>
          </w:tcPr>
          <w:p>
            <w:pPr>
              <w:jc w:val="left"/>
            </w:pPr>
            <w:r>
              <w:rPr>
                <w:b w:val="false"/>
                <w:bCs w:val="false"/>
                <w:color w:val="000000"/>
                <w:sz w:val="19"/>
                <w:szCs w:val="19"/>
              </w:rPr>
              <w:t xml:space="preserve">Fairness</w:t>
            </w:r>
          </w:p>
        </w:tc>
        <w:tc>
          <w:tcPr>
            <w:tcW w:type="dxa" w:w="6600"/>
            <w:shd w:fill="EAF2F1" w:val="clear"/>
            <w:tcMar>
              <w:top w:type="dxa" w:w="80"/>
              <w:left w:type="dxa" w:w="100"/>
              <w:bottom w:type="dxa" w:w="80"/>
              <w:right w:type="dxa" w:w="100"/>
            </w:tcMar>
          </w:tcPr>
          <w:p>
            <w:pPr>
              <w:jc w:val="left"/>
            </w:pPr>
            <w:r>
              <w:rPr>
                <w:b w:val="false"/>
                <w:bCs w:val="false"/>
                <w:color w:val="000000"/>
                <w:sz w:val="19"/>
                <w:szCs w:val="19"/>
              </w:rPr>
              <w:t xml:space="preserve">Outcome stability when protected-proxy attributes are perturbed</w:t>
            </w:r>
          </w:p>
        </w:tc>
      </w:tr>
    </w:tbl>
    <w:p>
      <w:pPr>
        <w:spacing w:after="80"/>
      </w:pPr>
    </w:p>
    <w:p>
      <w:pPr>
        <w:pStyle w:val="Heading2"/>
        <w:spacing w:after="120" w:before="280"/>
      </w:pPr>
      <w:r>
        <w:rPr>
          <w:b/>
          <w:bCs/>
          <w:color w:val="2E7D6B"/>
          <w:sz w:val="24"/>
          <w:szCs w:val="24"/>
        </w:rPr>
        <w:t xml:space="preserve">Mandatory adversarial cases</w:t>
      </w:r>
    </w:p>
    <w:p>
      <w:pPr>
        <w:pStyle w:val="ListParagraph"/>
        <w:numPr>
          <w:ilvl w:val="0"/>
          <w:numId w:val="3"/>
        </w:numPr>
        <w:spacing w:after="60" w:line="270"/>
      </w:pPr>
      <w:r>
        <w:rPr>
          <w:sz w:val="21"/>
          <w:szCs w:val="21"/>
        </w:rPr>
        <w:t xml:space="preserve">An expired or lapsed policy</w:t>
      </w:r>
    </w:p>
    <w:p>
      <w:pPr>
        <w:pStyle w:val="ListParagraph"/>
        <w:numPr>
          <w:ilvl w:val="0"/>
          <w:numId w:val="3"/>
        </w:numPr>
        <w:spacing w:after="60" w:line="270"/>
      </w:pPr>
      <w:r>
        <w:rPr>
          <w:sz w:val="21"/>
          <w:szCs w:val="21"/>
        </w:rPr>
        <w:t xml:space="preserve">A claim that falls inside a waiting period</w:t>
      </w:r>
    </w:p>
    <w:p>
      <w:pPr>
        <w:pStyle w:val="ListParagraph"/>
        <w:numPr>
          <w:ilvl w:val="0"/>
          <w:numId w:val="3"/>
        </w:numPr>
        <w:spacing w:after="60" w:line="270"/>
      </w:pPr>
      <w:r>
        <w:rPr>
          <w:sz w:val="21"/>
          <w:szCs w:val="21"/>
        </w:rPr>
        <w:t xml:space="preserve">A duplicate submission with a transposed digit</w:t>
      </w:r>
    </w:p>
    <w:p>
      <w:pPr>
        <w:pStyle w:val="ListParagraph"/>
        <w:numPr>
          <w:ilvl w:val="0"/>
          <w:numId w:val="3"/>
        </w:numPr>
        <w:spacing w:after="60" w:line="270"/>
      </w:pPr>
      <w:r>
        <w:rPr>
          <w:sz w:val="21"/>
          <w:szCs w:val="21"/>
        </w:rPr>
        <w:t xml:space="preserve">An endorsement that reverses the base wording</w:t>
      </w:r>
    </w:p>
    <w:p>
      <w:pPr>
        <w:pStyle w:val="ListParagraph"/>
        <w:numPr>
          <w:ilvl w:val="0"/>
          <w:numId w:val="3"/>
        </w:numPr>
        <w:spacing w:after="60" w:line="270"/>
      </w:pPr>
      <w:r>
        <w:rPr>
          <w:sz w:val="21"/>
          <w:szCs w:val="21"/>
        </w:rPr>
        <w:t xml:space="preserve">A document in an unexpected language</w:t>
      </w:r>
    </w:p>
    <w:p>
      <w:pPr>
        <w:pStyle w:val="ListParagraph"/>
        <w:numPr>
          <w:ilvl w:val="0"/>
          <w:numId w:val="3"/>
        </w:numPr>
        <w:spacing w:after="60" w:line="270"/>
      </w:pPr>
      <w:r>
        <w:rPr>
          <w:sz w:val="21"/>
          <w:szCs w:val="21"/>
        </w:rPr>
        <w:t xml:space="preserve">An illegible scan</w:t>
      </w:r>
    </w:p>
    <w:p>
      <w:pPr>
        <w:pStyle w:val="ListParagraph"/>
        <w:numPr>
          <w:ilvl w:val="0"/>
          <w:numId w:val="3"/>
        </w:numPr>
        <w:spacing w:after="60" w:line="270"/>
      </w:pPr>
      <w:r>
        <w:rPr>
          <w:sz w:val="21"/>
          <w:szCs w:val="21"/>
        </w:rPr>
        <w:t xml:space="preserve">A claim that falls just either side of a sub-limit or waiting-period threshold</w:t>
      </w:r>
    </w:p>
    <w:p>
      <w:pPr>
        <w:pStyle w:val="ListParagraph"/>
        <w:numPr>
          <w:ilvl w:val="0"/>
          <w:numId w:val="3"/>
        </w:numPr>
        <w:spacing w:after="60" w:line="270"/>
      </w:pPr>
      <w:r>
        <w:rPr>
          <w:sz w:val="21"/>
          <w:szCs w:val="21"/>
        </w:rPr>
        <w:t xml:space="preserve">A prompt-injection attempt embedded in an uploaded document</w:t>
      </w:r>
    </w:p>
    <w:p>
      <w:pPr>
        <w:spacing w:after="140" w:line="276"/>
      </w:pPr>
      <w:r>
        <w:rPr>
          <w:sz w:val="21"/>
          <w:szCs w:val="21"/>
        </w:rPr>
        <w:t xml:space="preserve">Report both error directions — a system that never misses a suspicious claim but over-queries 40% of honest ones is not a good system. Make the trade-off visible in the numbers, not just in prose.</w:t>
      </w:r>
    </w:p>
    <w:p>
      <w:pPr>
        <w:pStyle w:val="Heading1"/>
        <w:pBdr>
          <w:bottom w:val="single" w:color="1F4E5F" w:sz="8" w:space="4"/>
        </w:pBdr>
        <w:spacing w:after="160" w:before="360"/>
      </w:pPr>
      <w:r>
        <w:rPr>
          <w:b/>
          <w:bCs/>
          <w:color w:val="1F4E5F"/>
          <w:sz w:val="30"/>
          <w:szCs w:val="30"/>
        </w:rPr>
        <w:t xml:space="preserve">10. Helping Guide</w:t>
      </w:r>
    </w:p>
    <w:p>
      <w:pPr>
        <w:pStyle w:val="Heading2"/>
        <w:spacing w:after="120" w:before="280"/>
      </w:pPr>
      <w:r>
        <w:rPr>
          <w:b/>
          <w:bCs/>
          <w:color w:val="2E7D6B"/>
          <w:sz w:val="24"/>
          <w:szCs w:val="24"/>
        </w:rPr>
        <w:t xml:space="preserve">10.1 Cadence</w:t>
      </w:r>
    </w:p>
    <w:p>
      <w:pPr>
        <w:pStyle w:val="ListParagraph"/>
        <w:numPr>
          <w:ilvl w:val="0"/>
          <w:numId w:val="3"/>
        </w:numPr>
        <w:spacing w:after="60" w:line="270"/>
      </w:pPr>
      <w:r>
        <w:rPr>
          <w:sz w:val="21"/>
          <w:szCs w:val="21"/>
        </w:rPr>
        <w:t xml:space="preserve">Two short standups a week (e.g. Mon/Thu, 15 minutes): what shipped, what's blocked, what needs another member's output this week.</w:t>
      </w:r>
    </w:p>
    <w:p>
      <w:pPr>
        <w:pStyle w:val="ListParagraph"/>
        <w:numPr>
          <w:ilvl w:val="0"/>
          <w:numId w:val="3"/>
        </w:numPr>
        <w:spacing w:after="60" w:line="270"/>
      </w:pPr>
      <w:r>
        <w:rPr>
          <w:sz w:val="21"/>
          <w:szCs w:val="21"/>
        </w:rPr>
        <w:t xml:space="preserve">One integration session every two weeks from Week 3 onward — don't let three separate modules meet for the first time in Week 7.</w:t>
      </w:r>
    </w:p>
    <w:p>
      <w:pPr>
        <w:pStyle w:val="ListParagraph"/>
        <w:numPr>
          <w:ilvl w:val="0"/>
          <w:numId w:val="3"/>
        </w:numPr>
        <w:spacing w:after="60" w:line="270"/>
      </w:pPr>
      <w:r>
        <w:rPr>
          <w:sz w:val="21"/>
          <w:szCs w:val="21"/>
        </w:rPr>
        <w:t xml:space="preserve">A shared doc/board (Notion, GitHub Projects, or similar) tracking the weekly deliverables in Section 6 so slippage is visible early.</w:t>
      </w:r>
    </w:p>
    <w:p>
      <w:pPr>
        <w:pStyle w:val="Heading2"/>
        <w:spacing w:after="120" w:before="280"/>
      </w:pPr>
      <w:r>
        <w:rPr>
          <w:b/>
          <w:bCs/>
          <w:color w:val="2E7D6B"/>
          <w:sz w:val="24"/>
          <w:szCs w:val="24"/>
        </w:rPr>
        <w:t xml:space="preserve">10.2 Repository structure (suggested)</w:t>
      </w:r>
    </w:p>
    <w:p>
      <w:pPr>
        <w:pStyle w:val="ListParagraph"/>
        <w:numPr>
          <w:ilvl w:val="0"/>
          <w:numId w:val="3"/>
        </w:numPr>
        <w:spacing w:after="60" w:line="270"/>
      </w:pPr>
      <w:r>
        <w:rPr>
          <w:sz w:val="21"/>
          <w:szCs w:val="21"/>
        </w:rPr>
        <w:t xml:space="preserve">/data — synthetic corpus + generator scripts (Member 1)</w:t>
      </w:r>
    </w:p>
    <w:p>
      <w:pPr>
        <w:pStyle w:val="ListParagraph"/>
        <w:numPr>
          <w:ilvl w:val="0"/>
          <w:numId w:val="3"/>
        </w:numPr>
        <w:spacing w:after="60" w:line="270"/>
      </w:pPr>
      <w:r>
        <w:rPr>
          <w:sz w:val="21"/>
          <w:szCs w:val="21"/>
        </w:rPr>
        <w:t xml:space="preserve">/schemas — shared Pydantic models used by all three members</w:t>
      </w:r>
    </w:p>
    <w:p>
      <w:pPr>
        <w:pStyle w:val="ListParagraph"/>
        <w:numPr>
          <w:ilvl w:val="0"/>
          <w:numId w:val="3"/>
        </w:numPr>
        <w:spacing w:after="60" w:line="270"/>
      </w:pPr>
      <w:r>
        <w:rPr>
          <w:sz w:val="21"/>
          <w:szCs w:val="21"/>
        </w:rPr>
        <w:t xml:space="preserve">/ingestion, /extraction — Member 1</w:t>
      </w:r>
    </w:p>
    <w:p>
      <w:pPr>
        <w:pStyle w:val="ListParagraph"/>
        <w:numPr>
          <w:ilvl w:val="0"/>
          <w:numId w:val="3"/>
        </w:numPr>
        <w:spacing w:after="60" w:line="270"/>
      </w:pPr>
      <w:r>
        <w:rPr>
          <w:sz w:val="21"/>
          <w:szCs w:val="21"/>
        </w:rPr>
        <w:t xml:space="preserve">/retrieval, /rules, /orchestration — Member 2</w:t>
      </w:r>
    </w:p>
    <w:p>
      <w:pPr>
        <w:pStyle w:val="ListParagraph"/>
        <w:numPr>
          <w:ilvl w:val="0"/>
          <w:numId w:val="3"/>
        </w:numPr>
        <w:spacing w:after="60" w:line="270"/>
      </w:pPr>
      <w:r>
        <w:rPr>
          <w:sz w:val="21"/>
          <w:szCs w:val="21"/>
        </w:rPr>
        <w:t xml:space="preserve">/escalation, /audit, /eval, /demo — Member 3</w:t>
      </w:r>
    </w:p>
    <w:p>
      <w:pPr>
        <w:pStyle w:val="ListParagraph"/>
        <w:numPr>
          <w:ilvl w:val="0"/>
          <w:numId w:val="3"/>
        </w:numPr>
        <w:spacing w:after="60" w:line="270"/>
      </w:pPr>
      <w:r>
        <w:rPr>
          <w:sz w:val="21"/>
          <w:szCs w:val="21"/>
        </w:rPr>
        <w:t xml:space="preserve">/docs — deployment note, governance write-up, weekly progress notes</w:t>
      </w:r>
    </w:p>
    <w:p>
      <w:pPr>
        <w:pStyle w:val="Heading2"/>
        <w:spacing w:after="120" w:before="280"/>
      </w:pPr>
      <w:r>
        <w:rPr>
          <w:b/>
          <w:bCs/>
          <w:color w:val="2E7D6B"/>
          <w:sz w:val="24"/>
          <w:szCs w:val="24"/>
        </w:rPr>
        <w:t xml:space="preserve">10.3 Common pitfalls to avoid</w:t>
      </w:r>
    </w:p>
    <w:p>
      <w:pPr>
        <w:pStyle w:val="ListParagraph"/>
        <w:numPr>
          <w:ilvl w:val="0"/>
          <w:numId w:val="3"/>
        </w:numPr>
        <w:spacing w:after="60" w:line="270"/>
      </w:pPr>
      <w:r>
        <w:rPr>
          <w:sz w:val="21"/>
          <w:szCs w:val="21"/>
        </w:rPr>
        <w:t xml:space="preserve">Designing the extraction schema around one sample hospital form instead of the NHCX/FHIR structure — revisit this before Week 3 if it hasn't been checked against the real standard.</w:t>
      </w:r>
    </w:p>
    <w:p>
      <w:pPr>
        <w:pStyle w:val="ListParagraph"/>
        <w:numPr>
          <w:ilvl w:val="0"/>
          <w:numId w:val="3"/>
        </w:numPr>
        <w:spacing w:after="60" w:line="270"/>
      </w:pPr>
      <w:r>
        <w:rPr>
          <w:sz w:val="21"/>
          <w:szCs w:val="21"/>
        </w:rPr>
        <w:t xml:space="preserve">Letting the agent silently auto-decide in code even though the report says “recommend-only” — the escalation/human-approval step must be a real, non-bypassable node in the graph.</w:t>
      </w:r>
    </w:p>
    <w:p>
      <w:pPr>
        <w:pStyle w:val="ListParagraph"/>
        <w:numPr>
          <w:ilvl w:val="0"/>
          <w:numId w:val="3"/>
        </w:numPr>
        <w:spacing w:after="60" w:line="270"/>
      </w:pPr>
      <w:r>
        <w:rPr>
          <w:sz w:val="21"/>
          <w:szCs w:val="21"/>
        </w:rPr>
        <w:t xml:space="preserve">Citing a clause that was never actually retrieved (hallucinated citation) — this is graded as a critical failure, so wire citation-to-source verification into the reasoning node itself, not just into the eval script.</w:t>
      </w:r>
    </w:p>
    <w:p>
      <w:pPr>
        <w:pStyle w:val="ListParagraph"/>
        <w:numPr>
          <w:ilvl w:val="0"/>
          <w:numId w:val="3"/>
        </w:numPr>
        <w:spacing w:after="60" w:line="270"/>
      </w:pPr>
      <w:r>
        <w:rPr>
          <w:sz w:val="21"/>
          <w:szCs w:val="21"/>
        </w:rPr>
        <w:t xml:space="preserve">Building the evaluation harness only in Week 11 — start scoring against a small golden set from Week 4 so the whole team sees real numbers, not vibes, well before the deadline.</w:t>
      </w:r>
    </w:p>
    <w:p>
      <w:pPr>
        <w:pStyle w:val="ListParagraph"/>
        <w:numPr>
          <w:ilvl w:val="0"/>
          <w:numId w:val="3"/>
        </w:numPr>
        <w:spacing w:after="60" w:line="270"/>
      </w:pPr>
      <w:r>
        <w:rPr>
          <w:sz w:val="21"/>
          <w:szCs w:val="21"/>
        </w:rPr>
        <w:t xml:space="preserve">Treating the deployment note as an afterthought — it's a two-paragraph decision with real trade-offs (latency and cost of India-hosted/open-weight models vs. an overseas API); allocate real time to it in Week 11.</w:t>
      </w:r>
    </w:p>
    <w:p>
      <w:pPr>
        <w:pStyle w:val="Heading2"/>
        <w:spacing w:after="120" w:before="280"/>
      </w:pPr>
      <w:r>
        <w:rPr>
          <w:b/>
          <w:bCs/>
          <w:color w:val="2E7D6B"/>
          <w:sz w:val="24"/>
          <w:szCs w:val="24"/>
        </w:rPr>
        <w:t xml:space="preserve">10.4 Final submission checklist</w:t>
      </w:r>
    </w:p>
    <w:p>
      <w:pPr>
        <w:pStyle w:val="ListParagraph"/>
        <w:numPr>
          <w:ilvl w:val="0"/>
          <w:numId w:val="3"/>
        </w:numPr>
        <w:spacing w:after="60" w:line="270"/>
      </w:pPr>
      <w:r>
        <w:rPr>
          <w:sz w:val="21"/>
          <w:szCs w:val="21"/>
        </w:rPr>
        <w:t xml:space="preserve">Working end-to-end demo (ingestion → extraction → retrieval → reasoning → decision → escalation → audit log)</w:t>
      </w:r>
    </w:p>
    <w:p>
      <w:pPr>
        <w:pStyle w:val="ListParagraph"/>
        <w:numPr>
          <w:ilvl w:val="0"/>
          <w:numId w:val="3"/>
        </w:numPr>
        <w:spacing w:after="60" w:line="270"/>
      </w:pPr>
      <w:r>
        <w:rPr>
          <w:sz w:val="21"/>
          <w:szCs w:val="21"/>
        </w:rPr>
        <w:t xml:space="preserve">Golden test set (≥100 cases, ≥30 adversarial) with full rubric scorecard</w:t>
      </w:r>
    </w:p>
    <w:p>
      <w:pPr>
        <w:pStyle w:val="ListParagraph"/>
        <w:numPr>
          <w:ilvl w:val="0"/>
          <w:numId w:val="3"/>
        </w:numPr>
        <w:spacing w:after="60" w:line="270"/>
      </w:pPr>
      <w:r>
        <w:rPr>
          <w:sz w:val="21"/>
          <w:szCs w:val="21"/>
        </w:rPr>
        <w:t xml:space="preserve">Documented synthetic data generator</w:t>
      </w:r>
    </w:p>
    <w:p>
      <w:pPr>
        <w:pStyle w:val="ListParagraph"/>
        <w:numPr>
          <w:ilvl w:val="0"/>
          <w:numId w:val="3"/>
        </w:numPr>
        <w:spacing w:after="60" w:line="270"/>
      </w:pPr>
      <w:r>
        <w:rPr>
          <w:sz w:val="21"/>
          <w:szCs w:val="21"/>
        </w:rPr>
        <w:t xml:space="preserve">One-page deployment note</w:t>
      </w:r>
    </w:p>
    <w:p>
      <w:pPr>
        <w:pStyle w:val="ListParagraph"/>
        <w:numPr>
          <w:ilvl w:val="0"/>
          <w:numId w:val="3"/>
        </w:numPr>
        <w:spacing w:after="60" w:line="270"/>
      </w:pPr>
      <w:r>
        <w:rPr>
          <w:sz w:val="21"/>
          <w:szCs w:val="21"/>
        </w:rPr>
        <w:t xml:space="preserve">Governance write-up covering all seven guardrails in Section 8, with citations to the live IRDAI text and its date</w:t>
      </w:r>
    </w:p>
    <w:p>
      <w:pPr>
        <w:pStyle w:val="ListParagraph"/>
        <w:numPr>
          <w:ilvl w:val="0"/>
          <w:numId w:val="3"/>
        </w:numPr>
        <w:spacing w:after="60" w:line="270"/>
      </w:pPr>
      <w:r>
        <w:rPr>
          <w:sz w:val="21"/>
          <w:szCs w:val="21"/>
        </w:rPr>
        <w:t xml:space="preserve">Individual contribution summary per member, mapped to Section 6</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2026-08-26T05:03:24.199Z</dcterms:created>
  <dcterms:modified xsi:type="dcterms:W3CDTF">2026-08-26T05:03:24.212Z</dcterms:modified>
</cp:coreProperties>
</file>

<file path=docProps/custom.xml><?xml version="1.0" encoding="utf-8"?>
<Properties xmlns="http://schemas.openxmlformats.org/officeDocument/2006/custom-properties" xmlns:vt="http://schemas.openxmlformats.org/officeDocument/2006/docPropsVTypes"/>
</file>