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EARNINGS PREP PACK</w:t>
      </w:r>
    </w:p>
    <w:p>
      <w:pPr>
        <w:jc w:val="center"/>
      </w:pPr>
      <w:r>
        <w:rPr>
          <w:color w:val="003366"/>
          <w:sz w:val="44"/>
        </w:rPr>
        <w:t>Apple Inc. (AAPL)</w:t>
      </w:r>
    </w:p>
    <w:p>
      <w:pPr>
        <w:jc w:val="center"/>
      </w:pPr>
      <w:r>
        <w:rPr>
          <w:color w:val="646464"/>
          <w:sz w:val="32"/>
        </w:rPr>
        <w:t>Q2 FY2026 Earnings Call</w:t>
      </w:r>
    </w:p>
    <w:p>
      <w:pPr>
        <w:jc w:val="center"/>
      </w:pPr>
      <w:r>
        <w:rPr>
          <w:color w:val="646464"/>
          <w:sz w:val="24"/>
        </w:rPr>
        <w:t>March 30, 2026 | 8:00 PM IST</w:t>
      </w:r>
    </w:p>
    <w:p>
      <w:pPr>
        <w:jc w:val="center"/>
      </w:pPr>
      <w:r>
        <w:rPr>
          <w:i/>
          <w:color w:val="969696"/>
          <w:sz w:val="20"/>
        </w:rPr>
        <w:t>Prepared: March 28, 2026</w:t>
      </w:r>
    </w:p>
    <w:p/>
    <w:p>
      <w:pPr>
        <w:spacing w:after="120"/>
        <w:pBdr>
          <w:bottom w:val="single" w:sz="12" w:color="003366" w:space="1"/>
        </w:pBdr>
      </w:pPr>
    </w:p>
    <w:p>
      <w:pPr>
        <w:pStyle w:val="Heading1"/>
      </w:pPr>
      <w:r>
        <w:t>Executive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Company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Apple Inc. (AAPL) — NASDAQ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Sector / Industry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Technology / Consumer Electronics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Market Cap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$3,656.84B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Last Price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$248.80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52-Week Range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$169.21 — $260.10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Event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Q2 FY2026 Earnings Call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Date &amp; Time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March 30, 2026, 8:00 PM IST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Expected Earnings Date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April 30, 2026 (official)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Consensus Rating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Buy (68 Buy / 33 Hold / 7 Sell)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(Consensus)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$316.36 (+27.2% upside)</w:t>
            </w:r>
          </w:p>
        </w:tc>
      </w:tr>
    </w:tbl>
    <w:p>
      <w:pPr>
        <w:pStyle w:val="Heading1"/>
      </w:pPr>
      <w:r>
        <w:t>Last Quarter Performance (Q1 FY2026)</w:t>
      </w:r>
    </w:p>
    <w:p>
      <w:r>
        <w:rPr>
          <w:b/>
          <w:color w:val="008000"/>
          <w:sz w:val="24"/>
        </w:rPr>
        <w:t>BEAT on both EPS and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Actual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$2.84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Estimate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$2.67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Surprise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+6.37%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Actual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$143.76B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Estimate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$138.39B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Surprise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+3.88%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Reporting Date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January 30, 2026</w:t>
            </w:r>
          </w:p>
        </w:tc>
      </w:tr>
    </w:tbl>
    <w:p>
      <w:pPr>
        <w:pStyle w:val="Heading1"/>
      </w:pPr>
      <w:r>
        <w:t>Q2 FY2026 Consensus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Estimate (Avg)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$1.73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EPS Range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$1.54 — $1.87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Estimate (Avg)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$101.98B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Revenue Range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$93.67B — $108.50B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# Analysts (EPS)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YoY EPS Growth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Est. +8.1% vs Q2 FY2025</w:t>
            </w:r>
          </w:p>
        </w:tc>
      </w:tr>
    </w:tbl>
    <w:p>
      <w:pPr>
        <w:pStyle w:val="Heading1"/>
      </w:pPr>
      <w:r>
        <w:t>Key Financial Metrics</w:t>
      </w:r>
    </w:p>
    <w:p>
      <w:pPr>
        <w:pStyle w:val="Heading2"/>
      </w:pPr>
      <w:r>
        <w:t>Profitability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Gross Margin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46.9%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Operating Margin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33.9%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Net Margin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26.7%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ROE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143.3%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ROA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26.3%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ROIC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52.4%</w:t>
            </w:r>
          </w:p>
        </w:tc>
      </w:tr>
    </w:tbl>
    <w:p>
      <w:pPr>
        <w:pStyle w:val="Heading2"/>
      </w:pPr>
      <w:r>
        <w:t>Valuation Multiples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P/E (TTM)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37.4x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Forward P/E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31.2x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EV/EBITDA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28.5x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Price/Sales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9.4x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Price/Book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53.5x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PEG Ratio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3.12</w:t>
            </w:r>
          </w:p>
        </w:tc>
      </w:tr>
    </w:tbl>
    <w:p>
      <w:pPr>
        <w:pStyle w:val="Heading2"/>
      </w:pPr>
      <w:r>
        <w:t>Balance Sheet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Cash &amp; Equivalents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$30.3B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Total Debt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$96.8B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Net Debt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$66.5B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Debt/Equity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1.87x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Current Ratio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0.87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Free Cash Flow (TTM)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$109.2B</w:t>
            </w:r>
          </w:p>
        </w:tc>
      </w:tr>
    </w:tbl>
    <w:p>
      <w:pPr>
        <w:pStyle w:val="Heading1"/>
      </w:pPr>
      <w:r>
        <w:t>Revenue Segmentation</w:t>
      </w:r>
    </w:p>
    <w:p>
      <w:pPr>
        <w:pStyle w:val="Heading2"/>
      </w:pPr>
      <w:r>
        <w:t>By Product (Q1 FY2026)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iPhone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$69.14B (48.1%)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Services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$26.34B (18.3%)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Mac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$8.99B (6.3%)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iPad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$8.09B (5.6%)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Wearables, Home &amp; Accessories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$11.75B (8.2%)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Other / Unallocated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$19.45B (13.5%)</w:t>
            </w:r>
          </w:p>
        </w:tc>
      </w:tr>
    </w:tbl>
    <w:p>
      <w:pPr>
        <w:pStyle w:val="Heading2"/>
      </w:pPr>
      <w:r>
        <w:t>By Geography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Americas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~42% of revenue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Europe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~27% of revenue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Greater China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~17% of revenue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Japan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~7% of revenue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Rest of Asia Pacific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~7% of revenue</w:t>
            </w:r>
          </w:p>
        </w:tc>
      </w:tr>
    </w:tbl>
    <w:p>
      <w:pPr>
        <w:pStyle w:val="Heading1"/>
      </w:pPr>
      <w:r>
        <w:t>Analyst Sentiment &amp; Fund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Consensus Rating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Buy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Buy Ratings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68 (63%)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Hold Ratings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33 (31%)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Sell Ratings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7 (6%)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(Mean)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$316.36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(High)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$325.00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Price Target (Low)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$210.00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Sentiment Score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Positive (News &amp; Social)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Insider Activity (90d)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Net selling — monitor for changes</w:t>
            </w:r>
          </w:p>
        </w:tc>
      </w:tr>
    </w:tbl>
    <w:p>
      <w:pPr>
        <w:pStyle w:val="Heading2"/>
      </w:pPr>
      <w:r>
        <w:t>Institutional Fund Trends</w:t>
      </w:r>
    </w:p>
    <w:p>
      <w:r>
        <w:rPr>
          <w:sz w:val="20"/>
        </w:rPr>
        <w:t>Fund ownership remains strong. Watch for any post-earnings position changes in 13F filings.</w:t>
      </w:r>
    </w:p>
    <w:p>
      <w:pPr>
        <w:pStyle w:val="Heading1"/>
      </w:pPr>
      <w:r>
        <w:t>Key Questions &amp; Themes to Monitor</w:t>
      </w:r>
    </w:p>
    <w:p>
      <w:r>
        <w:rPr>
          <w:b/>
          <w:color w:val="003366"/>
          <w:sz w:val="20"/>
        </w:rPr>
        <w:t xml:space="preserve">iPhone Demand: </w:t>
      </w:r>
      <w:r>
        <w:rPr>
          <w:sz w:val="20"/>
        </w:rPr>
        <w:t>iPhone 16 cycle trajectory — any sign of elongation or pull-forward? Impact of AI features (Apple Intelligence) on upgrade rates? China market share trends vs Huawei recovery?</w:t>
      </w:r>
    </w:p>
    <w:p>
      <w:r>
        <w:rPr>
          <w:b/>
          <w:color w:val="003366"/>
          <w:sz w:val="20"/>
        </w:rPr>
        <w:t xml:space="preserve">Services Growth: </w:t>
      </w:r>
      <w:r>
        <w:rPr>
          <w:sz w:val="20"/>
        </w:rPr>
        <w:t>Services revenue run-rate and margin expansion. App Store regulatory headwinds (EU DMA, Epic ruling). New services pipeline and ARPU growth drivers.</w:t>
      </w:r>
    </w:p>
    <w:p>
      <w:r>
        <w:rPr>
          <w:b/>
          <w:color w:val="003366"/>
          <w:sz w:val="20"/>
        </w:rPr>
        <w:t xml:space="preserve">AI / Apple Intelligence: </w:t>
      </w:r>
      <w:r>
        <w:rPr>
          <w:sz w:val="20"/>
        </w:rPr>
        <w:t>Apple Intelligence adoption metrics and user engagement. On-device vs cloud AI strategy and capex implications. Partnership dynamics (OpenAI, potential Google changes).</w:t>
      </w:r>
    </w:p>
    <w:p>
      <w:r>
        <w:rPr>
          <w:b/>
          <w:color w:val="003366"/>
          <w:sz w:val="20"/>
        </w:rPr>
        <w:t xml:space="preserve">Gross Margins: </w:t>
      </w:r>
      <w:r>
        <w:rPr>
          <w:sz w:val="20"/>
        </w:rPr>
        <w:t>Product mix shift impact on margins. Component cost trends and supply chain. Services margin vs hardware margin trajectory.</w:t>
      </w:r>
    </w:p>
    <w:p>
      <w:r>
        <w:rPr>
          <w:b/>
          <w:color w:val="003366"/>
          <w:sz w:val="20"/>
        </w:rPr>
        <w:t xml:space="preserve">Capital Returns: </w:t>
      </w:r>
      <w:r>
        <w:rPr>
          <w:sz w:val="20"/>
        </w:rPr>
        <w:t>Buyback pace ($110B+ authorization). Dividend growth outlook. Net cash position trajectory toward zero.</w:t>
      </w:r>
    </w:p>
    <w:p>
      <w:r>
        <w:rPr>
          <w:b/>
          <w:color w:val="003366"/>
          <w:sz w:val="20"/>
        </w:rPr>
        <w:t xml:space="preserve">China &amp; Geopolitical: </w:t>
      </w:r>
      <w:r>
        <w:rPr>
          <w:sz w:val="20"/>
        </w:rPr>
        <w:t>China revenue trends and competitive landscape. Tariff exposure and supply chain diversification. India manufacturing ramp and timeline.</w:t>
      </w:r>
    </w:p>
    <w:p>
      <w:r>
        <w:rPr>
          <w:b/>
          <w:color w:val="003366"/>
          <w:sz w:val="20"/>
        </w:rPr>
        <w:t xml:space="preserve">Vision Pro: </w:t>
      </w:r>
      <w:r>
        <w:rPr>
          <w:sz w:val="20"/>
        </w:rPr>
        <w:t>Sales trajectory and developer ecosystem growth. Enterprise adoption signals. Next-gen roadmap hints.</w:t>
      </w:r>
    </w:p>
    <w:p>
      <w:pPr>
        <w:pStyle w:val="Heading1"/>
      </w:pPr>
      <w:r>
        <w:t>ESG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ESG Risk Score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Low Risk (Top quartile in sector)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Environmental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Carbon neutral operations; 2030 full supply chain target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Social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Strong privacy positioning; supply chain labor scrutiny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Governance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Dual-class: No. Board independence: High. CEO tenure: strong</w:t>
            </w:r>
          </w:p>
        </w:tc>
      </w:tr>
    </w:tbl>
    <w:p>
      <w:pPr>
        <w:pStyle w:val="Heading1"/>
      </w:pPr>
      <w:r>
        <w:t>Recent Price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1 Week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+1.2%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1 Month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-3.5%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3 Months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+5.8%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YTD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+6.3%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1 Year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+28.4%</w:t>
            </w:r>
          </w:p>
        </w:tc>
      </w:tr>
      <w:tr>
        <w:tc>
          <w:tcPr>
            <w:tcW w:type="dxa" w:w="3600"/>
            <w:shd w:val="clear" w:fill="E8EDF2"/>
          </w:tcPr>
          <w:p>
            <w:r>
              <w:rPr>
                <w:rFonts w:ascii="Arial" w:hAnsi="Arial"/>
                <w:b/>
                <w:sz w:val="20"/>
              </w:rPr>
              <w:t>vs S&amp;P 500 (1Y)</w:t>
            </w:r>
          </w:p>
        </w:tc>
        <w:tc>
          <w:tcPr>
            <w:tcW w:type="dxa" w:w="5760"/>
          </w:tcPr>
          <w:p>
            <w:r>
              <w:rPr>
                <w:rFonts w:ascii="Arial" w:hAnsi="Arial"/>
                <w:sz w:val="20"/>
              </w:rPr>
              <w:t>+5.2% outperformance</w:t>
            </w:r>
          </w:p>
        </w:tc>
      </w:tr>
    </w:tbl>
    <w:p/>
    <w:p>
      <w:pPr>
        <w:jc w:val="center"/>
      </w:pPr>
      <w:r>
        <w:rPr>
          <w:i/>
          <w:color w:val="969696"/>
          <w:sz w:val="16"/>
        </w:rPr>
        <w:t>Auto-generated by Calendar-Driven Workflow Orchestrator MVP</w:t>
      </w:r>
    </w:p>
    <w:p>
      <w:pPr>
        <w:jc w:val="center"/>
      </w:pPr>
      <w:r>
        <w:rPr>
          <w:i/>
          <w:color w:val="969696"/>
          <w:sz w:val="16"/>
        </w:rPr>
        <w:t>Data source: Bigdata.com via Claude MCP | Generated: 2026-03-28 14:53 UTC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