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EARNINGS PREP PACK</w:t>
      </w:r>
    </w:p>
    <w:p>
      <w:pPr>
        <w:jc w:val="center"/>
      </w:pPr>
      <w:r>
        <w:rPr>
          <w:color w:val="003366"/>
          <w:sz w:val="44"/>
        </w:rPr>
        <w:t>Amazon.com Inc. (AMZN)</w:t>
      </w:r>
    </w:p>
    <w:p>
      <w:pPr>
        <w:jc w:val="center"/>
      </w:pPr>
      <w:r>
        <w:rPr>
          <w:color w:val="646464"/>
          <w:sz w:val="32"/>
        </w:rPr>
        <w:t>Q1 FY2026 Earnings Call</w:t>
      </w:r>
    </w:p>
    <w:p>
      <w:pPr>
        <w:jc w:val="center"/>
      </w:pPr>
      <w:r>
        <w:rPr>
          <w:color w:val="646464"/>
          <w:sz w:val="24"/>
        </w:rPr>
        <w:t>April 1, 2026 | 7:30 PM IST</w:t>
      </w:r>
    </w:p>
    <w:p>
      <w:pPr>
        <w:jc w:val="center"/>
      </w:pPr>
      <w:r>
        <w:rPr>
          <w:i/>
          <w:color w:val="969696"/>
          <w:sz w:val="20"/>
        </w:rPr>
        <w:t>Prepared: March 28, 2026</w:t>
      </w:r>
    </w:p>
    <w:p/>
    <w:p>
      <w:pPr>
        <w:pBdr>
          <w:bottom w:val="single" w:sz="12" w:color="003366" w:space="1"/>
        </w:pBdr>
      </w:pPr>
    </w:p>
    <w:p>
      <w:pPr>
        <w:pStyle w:val="Heading1"/>
      </w:pPr>
      <w:r>
        <w:t>Executive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Company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Amazon.com Inc. (AMZN) — NASDAQ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Sector / Industry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Technology / E-Commerce &amp; Cloud Computing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Market Cap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$2,139.90B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Last Price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$199.34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52-Week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$151.61 — $242.52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Q1 FY2026 Earnings Call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Date &amp; Time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April 1, 2026, 7:30 PM IST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Expected Earnings Date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April 30, 2026 (official)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Consensus Rating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Buy (85 Buy / 8 Hold / 1 Sell)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(Consensus)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$283.97 (+42.5% upside)</w:t>
            </w:r>
          </w:p>
        </w:tc>
      </w:tr>
    </w:tbl>
    <w:p>
      <w:pPr>
        <w:pStyle w:val="Heading1"/>
      </w:pPr>
      <w:r>
        <w:t>Last Quarter Performance (Q4 FY2025)</w:t>
      </w:r>
    </w:p>
    <w:p>
      <w:r>
        <w:rPr>
          <w:b/>
          <w:color w:val="CC9900"/>
          <w:sz w:val="24"/>
        </w:rPr>
        <w:t>MISS on EPS / BEAT on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Actual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$1.95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Estimate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$1.97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Surprise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-1.02%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Actual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$213.39B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Estimate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$211.45B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Surprise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+0.91%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Reporting Date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February 6, 2026</w:t>
            </w:r>
          </w:p>
        </w:tc>
      </w:tr>
    </w:tbl>
    <w:p>
      <w:pPr>
        <w:pStyle w:val="Heading1"/>
      </w:pPr>
      <w:r>
        <w:t>Q1 FY2026 Consensus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Estimate (Avg)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$1.62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$1.40 — $2.62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Estimate (Avg)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$177.00B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$175.11B — $180.25B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# Analysts (EPS)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42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YoY Revenue Growth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Est. +10.2% vs Q1 FY2025</w:t>
            </w:r>
          </w:p>
        </w:tc>
      </w:tr>
    </w:tbl>
    <w:p>
      <w:pPr>
        <w:pStyle w:val="Heading1"/>
      </w:pPr>
      <w:r>
        <w:t>Key Financial Metrics</w:t>
      </w:r>
    </w:p>
    <w:p>
      <w:pPr>
        <w:pStyle w:val="Heading2"/>
      </w:pPr>
      <w:r>
        <w:t>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Gross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49.2%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Operating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11.3%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Net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8.8%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24.1%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ROA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8.5%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ROIC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15.2%</w:t>
            </w:r>
          </w:p>
        </w:tc>
      </w:tr>
    </w:tbl>
    <w:p>
      <w:pPr>
        <w:pStyle w:val="Heading2"/>
      </w:pPr>
      <w:r>
        <w:t>Valuation Multiples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P/E (TTM)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34.8x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Forward P/E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28.6x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EV/EBITDA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19.2x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Price/Sales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3.4x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Price/Book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8.1x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PEG Ratio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1.45</w:t>
            </w:r>
          </w:p>
        </w:tc>
      </w:tr>
    </w:tbl>
    <w:p>
      <w:pPr>
        <w:pStyle w:val="Heading2"/>
      </w:pPr>
      <w:r>
        <w:t>Balance Sheet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Cash &amp; Equivalents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$78.7B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Total Debt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$134.6B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Net Debt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$55.9B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Debt/Equity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0.63x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Current Ratio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1.06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Free Cash Flow (TTM)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$38.2B</w:t>
            </w:r>
          </w:p>
        </w:tc>
      </w:tr>
    </w:tbl>
    <w:p>
      <w:pPr>
        <w:pStyle w:val="Heading1"/>
      </w:pPr>
      <w:r>
        <w:t>Revenue Segmentation</w:t>
      </w:r>
    </w:p>
    <w:p>
      <w:pPr>
        <w:pStyle w:val="Heading2"/>
      </w:pPr>
      <w:r>
        <w:t>By Segment (Q4 FY2025)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Online Stores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$75.56B (35.4%)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AWS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$35.58B (16.7%)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Third-Party Seller Services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$47.53B (22.3%)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Advertising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$17.28B (8.1%)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Subscription Services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$11.35B (5.3%)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Physical Stores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$5.57B (2.6%)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Other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$20.52B (9.6%)</w:t>
            </w:r>
          </w:p>
        </w:tc>
      </w:tr>
    </w:tbl>
    <w:p>
      <w:pPr>
        <w:pStyle w:val="Heading2"/>
      </w:pPr>
      <w:r>
        <w:t>AWS Trends (Critical)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AWS Q4 Revenue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$35.58B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AWS YoY Growth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~19%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AWS Operating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~37%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AWS Annualized Run Rate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~$142B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Key Competitor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Azure growing faster; GCP accelerating</w:t>
            </w:r>
          </w:p>
        </w:tc>
      </w:tr>
    </w:tbl>
    <w:p>
      <w:pPr>
        <w:pStyle w:val="Heading1"/>
      </w:pPr>
      <w:r>
        <w:t>Analyst Sentiment &amp; Fund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Consensus Rating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Strong Buy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Buy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85 (90%)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Hold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 (9%)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Sell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 (1%)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(Mean)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$283.97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(High)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$306.00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(Low)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$215.00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Sentiment Score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Positive (News &amp; Social)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Institutional Ownership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&gt;60% — Strong fund support</w:t>
            </w:r>
          </w:p>
        </w:tc>
      </w:tr>
    </w:tbl>
    <w:p>
      <w:pPr>
        <w:pStyle w:val="Heading1"/>
      </w:pPr>
      <w:r>
        <w:t>Key Questions &amp; Themes to Monitor</w:t>
      </w:r>
    </w:p>
    <w:p>
      <w:r>
        <w:rPr>
          <w:b/>
          <w:color w:val="003366"/>
          <w:sz w:val="20"/>
        </w:rPr>
        <w:t xml:space="preserve">AWS Growth &amp; AI: </w:t>
      </w:r>
      <w:r>
        <w:rPr>
          <w:sz w:val="20"/>
        </w:rPr>
        <w:t>AWS revenue growth trajectory — reacceleration signal? AI/ML workload contribution to AWS revenue. Custom silicon (Trainium, Graviton) adoption and cost advantages. Bedrock and generative AI services uptake.</w:t>
      </w:r>
    </w:p>
    <w:p>
      <w:r>
        <w:rPr>
          <w:b/>
          <w:color w:val="003366"/>
          <w:sz w:val="20"/>
        </w:rPr>
        <w:t xml:space="preserve">Retail Margins: </w:t>
      </w:r>
      <w:r>
        <w:rPr>
          <w:sz w:val="20"/>
        </w:rPr>
        <w:t>North America operating margin expansion path to 6%+. International segment path to profitability. Fulfillment cost per unit trends with regionalization. Same-day/next-day delivery economics.</w:t>
      </w:r>
    </w:p>
    <w:p>
      <w:r>
        <w:rPr>
          <w:b/>
          <w:color w:val="003366"/>
          <w:sz w:val="20"/>
        </w:rPr>
        <w:t xml:space="preserve">Advertising: </w:t>
      </w:r>
      <w:r>
        <w:rPr>
          <w:sz w:val="20"/>
        </w:rPr>
        <w:t>Ad revenue growth sustainability at 20%+. Prime Video ad tier monetization ramp. Sponsored Products vs DSP mix. Retail media competitive positioning vs Walmart/others.</w:t>
      </w:r>
    </w:p>
    <w:p>
      <w:r>
        <w:rPr>
          <w:b/>
          <w:color w:val="003366"/>
          <w:sz w:val="20"/>
        </w:rPr>
        <w:t xml:space="preserve">Capital Expenditure: </w:t>
      </w:r>
      <w:r>
        <w:rPr>
          <w:sz w:val="20"/>
        </w:rPr>
        <w:t>Capex guidance — AI infrastructure vs fulfillment split. AWS capacity constraints and data center buildout. Expected ROI timeline on AI investments. Impact on free cash flow trajectory.</w:t>
      </w:r>
    </w:p>
    <w:p>
      <w:r>
        <w:rPr>
          <w:b/>
          <w:color w:val="003366"/>
          <w:sz w:val="20"/>
        </w:rPr>
        <w:t xml:space="preserve">Alexa / Devices: </w:t>
      </w:r>
      <w:r>
        <w:rPr>
          <w:sz w:val="20"/>
        </w:rPr>
        <w:t>Alexa+ (LLM-powered) monetization strategy. Device ecosystem profitability improvement. Smart home platform competitive dynamics.</w:t>
      </w:r>
    </w:p>
    <w:p>
      <w:r>
        <w:rPr>
          <w:b/>
          <w:color w:val="003366"/>
          <w:sz w:val="20"/>
        </w:rPr>
        <w:t xml:space="preserve">Regulatory &amp; Competition: </w:t>
      </w:r>
      <w:r>
        <w:rPr>
          <w:sz w:val="20"/>
        </w:rPr>
        <w:t>FTC scrutiny and antitrust developments. EU Digital Markets Act compliance costs. Competitive dynamics: Temu/Shein impact on marketplace. Logistics network as a service opportunity.</w:t>
      </w:r>
    </w:p>
    <w:p>
      <w:r>
        <w:rPr>
          <w:b/>
          <w:color w:val="003366"/>
          <w:sz w:val="20"/>
        </w:rPr>
        <w:t xml:space="preserve">Project Kuiper: </w:t>
      </w:r>
      <w:r>
        <w:rPr>
          <w:sz w:val="20"/>
        </w:rPr>
        <w:t>Satellite internet deployment timeline and capex. Revenue contribution timeline. Competitive positioning vs Starlink.</w:t>
      </w:r>
    </w:p>
    <w:p>
      <w:pPr>
        <w:pStyle w:val="Heading1"/>
      </w:pPr>
      <w:r>
        <w:t>ESG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ESG Risk Score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Medium Risk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Environmental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Climate Pledge (net-zero by 2040); 100K EV delivery vans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Social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Warehouse worker conditions scrutiny; $15+ min wage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Governance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Jassy transition smooth; Board diversity improving</w:t>
            </w:r>
          </w:p>
        </w:tc>
      </w:tr>
    </w:tbl>
    <w:p>
      <w:pPr>
        <w:pStyle w:val="Heading1"/>
      </w:pPr>
      <w:r>
        <w:t>Recent Price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Week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-0.8%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Month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-5.2%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3 Months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+2.1%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YTD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+3.8%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Year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+22.6%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vs S&amp;P 500 (1Y)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-0.6% underperformance</w:t>
            </w:r>
          </w:p>
        </w:tc>
      </w:tr>
    </w:tbl>
    <w:p/>
    <w:p>
      <w:pPr>
        <w:jc w:val="center"/>
      </w:pPr>
      <w:r>
        <w:rPr>
          <w:i/>
          <w:color w:val="969696"/>
          <w:sz w:val="16"/>
        </w:rPr>
        <w:t>Auto-generated by Calendar-Driven Workflow Orchestrator MVP</w:t>
      </w:r>
    </w:p>
    <w:p>
      <w:pPr>
        <w:jc w:val="center"/>
      </w:pPr>
      <w:r>
        <w:rPr>
          <w:i/>
          <w:color w:val="969696"/>
          <w:sz w:val="16"/>
        </w:rPr>
        <w:t>Data source: Bigdata.com via Claude MCP | Generated: 2026-03-28 14:54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