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56"/>
        </w:rPr>
        <w:t>KOL MEETING PREP</w:t>
      </w:r>
    </w:p>
    <w:p/>
    <w:p>
      <w:pPr>
        <w:jc w:val="center"/>
      </w:pPr>
      <w:r>
        <w:rPr>
          <w:rFonts w:ascii="Arial" w:hAnsi="Arial"/>
          <w:b/>
          <w:color w:val="003366"/>
          <w:sz w:val="48"/>
        </w:rPr>
        <w:t>Dr. Sarah Chen</w:t>
      </w:r>
    </w:p>
    <w:p>
      <w:pPr>
        <w:jc w:val="center"/>
      </w:pPr>
      <w:r>
        <w:rPr>
          <w:rFonts w:ascii="Arial" w:hAnsi="Arial"/>
          <w:color w:val="003366"/>
          <w:sz w:val="36"/>
        </w:rPr>
        <w:t>Expert Consultation Call</w:t>
      </w:r>
    </w:p>
    <w:p/>
    <w:p/>
    <w:p>
      <w:pPr>
        <w:jc w:val="center"/>
      </w:pPr>
      <w:r>
        <w:rPr>
          <w:rFonts w:ascii="Arial" w:hAnsi="Arial"/>
          <w:color w:val="003366"/>
          <w:sz w:val="28"/>
        </w:rPr>
        <w:t>April 2, 2026 | 2:00 PM IST</w:t>
      </w:r>
    </w:p>
    <w:p>
      <w:r>
        <w:br w:type="page"/>
      </w:r>
    </w:p>
    <w:p>
      <w:pPr>
        <w:pStyle w:val="Heading1"/>
      </w:pPr>
      <w:r>
        <w:rPr>
          <w:rFonts w:ascii="Arial" w:hAnsi="Arial"/>
          <w:color w:val="003366"/>
          <w:sz w:val="28"/>
        </w:rPr>
        <w:t>Meeting Context</w:t>
      </w:r>
    </w:p>
    <w:tbl>
      <w:tblPr>
        <w:tblStyle w:val="LightGrid-Accent1"/>
        <w:tblW w:type="auto" w:w="0"/>
        <w:tblLook w:firstColumn="1" w:firstRow="1" w:lastColumn="0" w:lastRow="0" w:noHBand="0" w:noVBand="1" w:val="04A0"/>
      </w:tblPr>
      <w:tblGrid>
        <w:gridCol w:w="4320"/>
        <w:gridCol w:w="4320"/>
      </w:tblGrid>
      <w:tr>
        <w:tc>
          <w:tcPr>
            <w:tcW w:type="dxa" w:w="4320"/>
            <w:shd w:fill="e8edf2"/>
          </w:tcPr>
          <w:p>
            <w:r>
              <w:rPr>
                <w:rFonts w:ascii="Arial" w:hAnsi="Arial"/>
                <w:b/>
                <w:color w:val="003366"/>
              </w:rPr>
              <w:t>Metric</w:t>
            </w:r>
          </w:p>
        </w:tc>
        <w:tc>
          <w:tcPr>
            <w:tcW w:type="dxa" w:w="4320"/>
            <w:shd w:fill="e8edf2"/>
          </w:tcPr>
          <w:p>
            <w:r>
              <w:rPr>
                <w:rFonts w:ascii="Arial" w:hAnsi="Arial"/>
                <w:b/>
                <w:color w:val="003366"/>
              </w:rPr>
              <w:t>Value</w:t>
            </w:r>
          </w:p>
        </w:tc>
      </w:tr>
      <w:tr>
        <w:tc>
          <w:tcPr>
            <w:tcW w:type="dxa" w:w="4320"/>
          </w:tcPr>
          <w:p>
            <w:r>
              <w:rPr>
                <w:rFonts w:ascii="Arial" w:hAnsi="Arial"/>
              </w:rPr>
              <w:t>Expert</w:t>
            </w:r>
          </w:p>
        </w:tc>
        <w:tc>
          <w:tcPr>
            <w:tcW w:type="dxa" w:w="4320"/>
          </w:tcPr>
          <w:p>
            <w:r>
              <w:rPr>
                <w:rFonts w:ascii="Arial" w:hAnsi="Arial"/>
              </w:rPr>
              <w:t>Dr. Sarah Chen</w:t>
            </w:r>
          </w:p>
        </w:tc>
      </w:tr>
      <w:tr>
        <w:tc>
          <w:tcPr>
            <w:tcW w:type="dxa" w:w="4320"/>
          </w:tcPr>
          <w:p>
            <w:r>
              <w:rPr>
                <w:rFonts w:ascii="Arial" w:hAnsi="Arial"/>
              </w:rPr>
              <w:t>Affiliation</w:t>
            </w:r>
          </w:p>
        </w:tc>
        <w:tc>
          <w:tcPr>
            <w:tcW w:type="dxa" w:w="4320"/>
          </w:tcPr>
          <w:p>
            <w:r>
              <w:rPr>
                <w:rFonts w:ascii="Arial" w:hAnsi="Arial"/>
              </w:rPr>
              <w:t>Unknown — check LinkedIn, PubMed, institutional websites</w:t>
            </w:r>
          </w:p>
        </w:tc>
      </w:tr>
      <w:tr>
        <w:tc>
          <w:tcPr>
            <w:tcW w:type="dxa" w:w="4320"/>
          </w:tcPr>
          <w:p>
            <w:r>
              <w:rPr>
                <w:rFonts w:ascii="Arial" w:hAnsi="Arial"/>
              </w:rPr>
              <w:t>Meeting Type</w:t>
            </w:r>
          </w:p>
        </w:tc>
        <w:tc>
          <w:tcPr>
            <w:tcW w:type="dxa" w:w="4320"/>
          </w:tcPr>
          <w:p>
            <w:r>
              <w:rPr>
                <w:rFonts w:ascii="Arial" w:hAnsi="Arial"/>
              </w:rPr>
              <w:t>KOL Consultation Call</w:t>
            </w:r>
          </w:p>
        </w:tc>
      </w:tr>
      <w:tr>
        <w:tc>
          <w:tcPr>
            <w:tcW w:type="dxa" w:w="4320"/>
          </w:tcPr>
          <w:p>
            <w:r>
              <w:rPr>
                <w:rFonts w:ascii="Arial" w:hAnsi="Arial"/>
              </w:rPr>
              <w:t>Date</w:t>
            </w:r>
          </w:p>
        </w:tc>
        <w:tc>
          <w:tcPr>
            <w:tcW w:type="dxa" w:w="4320"/>
          </w:tcPr>
          <w:p>
            <w:r>
              <w:rPr>
                <w:rFonts w:ascii="Arial" w:hAnsi="Arial"/>
              </w:rPr>
              <w:t>April 2, 2026</w:t>
            </w:r>
          </w:p>
        </w:tc>
      </w:tr>
    </w:tbl>
    <w:p/>
    <w:p>
      <w:pPr>
        <w:pStyle w:val="Heading1"/>
      </w:pPr>
      <w:r>
        <w:rPr>
          <w:rFonts w:ascii="Arial" w:hAnsi="Arial"/>
          <w:color w:val="003366"/>
          <w:sz w:val="28"/>
        </w:rPr>
        <w:t>Pre-Call Research Notes</w:t>
      </w:r>
    </w:p>
    <w:p>
      <w:pPr>
        <w:spacing w:after="120"/>
      </w:pPr>
      <w:r>
        <w:rPr>
          <w:rFonts w:ascii="Arial" w:hAnsi="Arial"/>
          <w:sz w:val="22"/>
        </w:rPr>
        <w:t>Specific background information on Dr. Sarah Chen was not found in financial databases. It is recommended to check LinkedIn, PubMed, and institutional websites before the call to understand the expert's research focus, clinical background, and industry involvement. This prep pack provides a structured framework for the discussion.</w:t>
      </w:r>
    </w:p>
    <w:p/>
    <w:p>
      <w:pPr>
        <w:pStyle w:val="Heading1"/>
      </w:pPr>
      <w:r>
        <w:rPr>
          <w:rFonts w:ascii="Arial" w:hAnsi="Arial"/>
          <w:color w:val="003366"/>
          <w:sz w:val="28"/>
        </w:rPr>
        <w:t>Discussion Guide</w:t>
      </w:r>
    </w:p>
    <w:p>
      <w:pPr>
        <w:pStyle w:val="Heading2"/>
      </w:pPr>
      <w:r>
        <w:rPr>
          <w:rFonts w:ascii="Arial" w:hAnsi="Arial"/>
          <w:color w:val="003366"/>
        </w:rPr>
        <w:t>Clinical Landscape</w:t>
      </w:r>
    </w:p>
    <w:p>
      <w:pPr>
        <w:pStyle w:val="ListNumber"/>
        <w:ind w:left="720"/>
      </w:pPr>
      <w:r>
        <w:rPr>
          <w:rFonts w:ascii="Arial" w:hAnsi="Arial"/>
        </w:rPr>
        <w:t>What is your assessment of the current disease landscape?</w:t>
      </w:r>
    </w:p>
    <w:p>
      <w:pPr>
        <w:pStyle w:val="ListNumber"/>
        <w:ind w:left="720"/>
      </w:pPr>
      <w:r>
        <w:rPr>
          <w:rFonts w:ascii="Arial" w:hAnsi="Arial"/>
        </w:rPr>
        <w:t>What are the major unmet medical needs?</w:t>
      </w:r>
    </w:p>
    <w:p>
      <w:pPr>
        <w:pStyle w:val="ListNumber"/>
        <w:ind w:left="720"/>
      </w:pPr>
      <w:r>
        <w:rPr>
          <w:rFonts w:ascii="Arial" w:hAnsi="Arial"/>
        </w:rPr>
        <w:t>How is the standard of care evolving?</w:t>
      </w:r>
    </w:p>
    <w:p>
      <w:pPr>
        <w:pStyle w:val="Heading2"/>
      </w:pPr>
      <w:r>
        <w:rPr>
          <w:rFonts w:ascii="Arial" w:hAnsi="Arial"/>
          <w:color w:val="003366"/>
        </w:rPr>
        <w:t>Competitive Dynamics</w:t>
      </w:r>
    </w:p>
    <w:p>
      <w:pPr>
        <w:pStyle w:val="ListNumber"/>
        <w:ind w:left="720"/>
      </w:pPr>
      <w:r>
        <w:rPr>
          <w:rFonts w:ascii="Arial" w:hAnsi="Arial"/>
        </w:rPr>
        <w:t>What emerging therapies concern you most?</w:t>
      </w:r>
    </w:p>
    <w:p>
      <w:pPr>
        <w:pStyle w:val="ListNumber"/>
        <w:ind w:left="720"/>
      </w:pPr>
      <w:r>
        <w:rPr>
          <w:rFonts w:ascii="Arial" w:hAnsi="Arial"/>
        </w:rPr>
        <w:t>What competitive advantages matter most?</w:t>
      </w:r>
    </w:p>
    <w:p>
      <w:pPr>
        <w:pStyle w:val="ListNumber"/>
        <w:ind w:left="720"/>
      </w:pPr>
      <w:r>
        <w:rPr>
          <w:rFonts w:ascii="Arial" w:hAnsi="Arial"/>
        </w:rPr>
        <w:t>What is your view on the clinical trial landscape?</w:t>
      </w:r>
    </w:p>
    <w:p>
      <w:pPr>
        <w:pStyle w:val="Heading2"/>
      </w:pPr>
      <w:r>
        <w:rPr>
          <w:rFonts w:ascii="Arial" w:hAnsi="Arial"/>
          <w:color w:val="003366"/>
        </w:rPr>
        <w:t>Commercial Outlook</w:t>
      </w:r>
    </w:p>
    <w:p>
      <w:pPr>
        <w:pStyle w:val="ListNumber"/>
        <w:ind w:left="720"/>
      </w:pPr>
      <w:r>
        <w:rPr>
          <w:rFonts w:ascii="Arial" w:hAnsi="Arial"/>
        </w:rPr>
        <w:t>What are the key market access barriers?</w:t>
      </w:r>
    </w:p>
    <w:p>
      <w:pPr>
        <w:pStyle w:val="ListNumber"/>
        <w:ind w:left="720"/>
      </w:pPr>
      <w:r>
        <w:rPr>
          <w:rFonts w:ascii="Arial" w:hAnsi="Arial"/>
        </w:rPr>
        <w:t>How are pricing dynamics evolving?</w:t>
      </w:r>
    </w:p>
    <w:p>
      <w:pPr>
        <w:pStyle w:val="ListNumber"/>
        <w:ind w:left="720"/>
      </w:pPr>
      <w:r>
        <w:rPr>
          <w:rFonts w:ascii="Arial" w:hAnsi="Arial"/>
        </w:rPr>
        <w:t>What drives adoption curves in your view?</w:t>
      </w:r>
    </w:p>
    <w:p>
      <w:pPr>
        <w:pStyle w:val="Heading2"/>
      </w:pPr>
      <w:r>
        <w:rPr>
          <w:rFonts w:ascii="Arial" w:hAnsi="Arial"/>
          <w:color w:val="003366"/>
        </w:rPr>
        <w:t>Regulatory Environment</w:t>
      </w:r>
    </w:p>
    <w:p>
      <w:pPr>
        <w:pStyle w:val="ListNumber"/>
        <w:ind w:left="720"/>
      </w:pPr>
      <w:r>
        <w:rPr>
          <w:rFonts w:ascii="Arial" w:hAnsi="Arial"/>
        </w:rPr>
        <w:t>What regulatory pathways are realistic?</w:t>
      </w:r>
    </w:p>
    <w:p>
      <w:pPr>
        <w:pStyle w:val="ListNumber"/>
        <w:ind w:left="720"/>
      </w:pPr>
      <w:r>
        <w:rPr>
          <w:rFonts w:ascii="Arial" w:hAnsi="Arial"/>
        </w:rPr>
        <w:t>What are approval timelines likely to be?</w:t>
      </w:r>
    </w:p>
    <w:p>
      <w:pPr>
        <w:pStyle w:val="ListNumber"/>
        <w:ind w:left="720"/>
      </w:pPr>
      <w:r>
        <w:rPr>
          <w:rFonts w:ascii="Arial" w:hAnsi="Arial"/>
        </w:rPr>
        <w:t>What policy changes would impact your field?</w:t>
      </w:r>
    </w:p>
    <w:p/>
    <w:p>
      <w:pPr>
        <w:pStyle w:val="Heading1"/>
      </w:pPr>
      <w:r>
        <w:rPr>
          <w:rFonts w:ascii="Arial" w:hAnsi="Arial"/>
          <w:color w:val="003366"/>
          <w:sz w:val="28"/>
        </w:rPr>
        <w:t>Key Hypotheses to Test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df2"/>
          </w:tcPr>
          <w:p>
            <w:r>
              <w:rPr>
                <w:rFonts w:ascii="Arial" w:hAnsi="Arial"/>
                <w:b/>
                <w:color w:val="003366"/>
              </w:rPr>
              <w:t>Hypothesis</w:t>
            </w:r>
          </w:p>
        </w:tc>
        <w:tc>
          <w:tcPr>
            <w:tcW w:type="dxa" w:w="2160"/>
            <w:shd w:fill="e8edf2"/>
          </w:tcPr>
          <w:p>
            <w:r>
              <w:rPr>
                <w:rFonts w:ascii="Arial" w:hAnsi="Arial"/>
                <w:b/>
                <w:color w:val="003366"/>
              </w:rPr>
              <w:t>Supporting Evidence</w:t>
            </w:r>
          </w:p>
        </w:tc>
        <w:tc>
          <w:tcPr>
            <w:tcW w:type="dxa" w:w="2160"/>
            <w:shd w:fill="e8edf2"/>
          </w:tcPr>
          <w:p>
            <w:r>
              <w:rPr>
                <w:rFonts w:ascii="Arial" w:hAnsi="Arial"/>
                <w:b/>
                <w:color w:val="003366"/>
              </w:rPr>
              <w:t>KOL's View</w:t>
            </w:r>
          </w:p>
        </w:tc>
        <w:tc>
          <w:tcPr>
            <w:tcW w:type="dxa" w:w="2160"/>
            <w:shd w:fill="e8edf2"/>
          </w:tcPr>
          <w:p>
            <w:r>
              <w:rPr>
                <w:rFonts w:ascii="Arial" w:hAnsi="Arial"/>
                <w:b/>
                <w:color w:val="003366"/>
              </w:rPr>
              <w:t>Investment Implication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pPr>
        <w:pStyle w:val="Heading1"/>
      </w:pPr>
      <w:r>
        <w:rPr>
          <w:rFonts w:ascii="Arial" w:hAnsi="Arial"/>
          <w:color w:val="003366"/>
          <w:sz w:val="28"/>
        </w:rPr>
        <w:t>Note-Taking Template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8edf2"/>
          </w:tcPr>
          <w:p>
            <w:r>
              <w:rPr>
                <w:rFonts w:ascii="Arial" w:hAnsi="Arial"/>
                <w:b/>
                <w:color w:val="003366"/>
              </w:rPr>
              <w:t>Question #</w:t>
            </w:r>
          </w:p>
        </w:tc>
        <w:tc>
          <w:tcPr>
            <w:tcW w:type="dxa" w:w="2160"/>
            <w:shd w:fill="e8edf2"/>
          </w:tcPr>
          <w:p>
            <w:r>
              <w:rPr>
                <w:rFonts w:ascii="Arial" w:hAnsi="Arial"/>
                <w:b/>
                <w:color w:val="003366"/>
              </w:rPr>
              <w:t>Expert Response</w:t>
            </w:r>
          </w:p>
        </w:tc>
        <w:tc>
          <w:tcPr>
            <w:tcW w:type="dxa" w:w="2160"/>
            <w:shd w:fill="e8edf2"/>
          </w:tcPr>
          <w:p>
            <w:r>
              <w:rPr>
                <w:rFonts w:ascii="Arial" w:hAnsi="Arial"/>
                <w:b/>
                <w:color w:val="003366"/>
              </w:rPr>
              <w:t>Key Insight</w:t>
            </w:r>
          </w:p>
        </w:tc>
        <w:tc>
          <w:tcPr>
            <w:tcW w:type="dxa" w:w="2160"/>
            <w:shd w:fill="e8edf2"/>
          </w:tcPr>
          <w:p>
            <w:r>
              <w:rPr>
                <w:rFonts w:ascii="Arial" w:hAnsi="Arial"/>
                <w:b/>
                <w:color w:val="003366"/>
              </w:rPr>
              <w:t>Follow-Up Needed</w:t>
            </w:r>
          </w:p>
        </w:tc>
      </w:tr>
      <w:tr>
        <w:tc>
          <w:tcPr>
            <w:tcW w:type="dxa" w:w="2160"/>
          </w:tcPr>
          <w:p>
            <w:r>
              <w:t>1</w:t>
            </w:r>
          </w:p>
        </w:tc>
        <w:tc>
          <w:tcPr>
            <w:tcW w:type="dxa" w:w="2160"/>
          </w:tcPr>
          <w:p/>
        </w:tc>
        <w:tc>
          <w:tcPr>
            <w:tcW w:type="dxa" w:w="2160"/>
          </w:tcPr>
          <w:p/>
        </w:tc>
        <w:tc>
          <w:tcPr>
            <w:tcW w:type="dxa" w:w="2160"/>
          </w:tcPr>
          <w:p/>
        </w:tc>
      </w:tr>
      <w:tr>
        <w:tc>
          <w:tcPr>
            <w:tcW w:type="dxa" w:w="2160"/>
          </w:tcPr>
          <w:p>
            <w:r>
              <w:t>2</w:t>
            </w:r>
          </w:p>
        </w:tc>
        <w:tc>
          <w:tcPr>
            <w:tcW w:type="dxa" w:w="2160"/>
          </w:tcPr>
          <w:p/>
        </w:tc>
        <w:tc>
          <w:tcPr>
            <w:tcW w:type="dxa" w:w="2160"/>
          </w:tcPr>
          <w:p/>
        </w:tc>
        <w:tc>
          <w:tcPr>
            <w:tcW w:type="dxa" w:w="2160"/>
          </w:tcPr>
          <w:p/>
        </w:tc>
      </w:tr>
      <w:tr>
        <w:tc>
          <w:tcPr>
            <w:tcW w:type="dxa" w:w="2160"/>
          </w:tcPr>
          <w:p>
            <w:r>
              <w:t>3</w:t>
            </w:r>
          </w:p>
        </w:tc>
        <w:tc>
          <w:tcPr>
            <w:tcW w:type="dxa" w:w="2160"/>
          </w:tcPr>
          <w:p/>
        </w:tc>
        <w:tc>
          <w:tcPr>
            <w:tcW w:type="dxa" w:w="2160"/>
          </w:tcPr>
          <w:p/>
        </w:tc>
        <w:tc>
          <w:tcPr>
            <w:tcW w:type="dxa" w:w="2160"/>
          </w:tcPr>
          <w:p/>
        </w:tc>
      </w:tr>
      <w:tr>
        <w:tc>
          <w:tcPr>
            <w:tcW w:type="dxa" w:w="2160"/>
          </w:tcPr>
          <w:p>
            <w:r>
              <w:t>4</w:t>
            </w:r>
          </w:p>
        </w:tc>
        <w:tc>
          <w:tcPr>
            <w:tcW w:type="dxa" w:w="2160"/>
          </w:tcPr>
          <w:p/>
        </w:tc>
        <w:tc>
          <w:tcPr>
            <w:tcW w:type="dxa" w:w="2160"/>
          </w:tcPr>
          <w:p/>
        </w:tc>
        <w:tc>
          <w:tcPr>
            <w:tcW w:type="dxa" w:w="2160"/>
          </w:tcPr>
          <w:p/>
        </w:tc>
      </w:tr>
      <w:tr>
        <w:tc>
          <w:tcPr>
            <w:tcW w:type="dxa" w:w="2160"/>
          </w:tcPr>
          <w:p>
            <w:r>
              <w:t>5</w:t>
            </w:r>
          </w:p>
        </w:tc>
        <w:tc>
          <w:tcPr>
            <w:tcW w:type="dxa" w:w="2160"/>
          </w:tcPr>
          <w:p/>
        </w:tc>
        <w:tc>
          <w:tcPr>
            <w:tcW w:type="dxa" w:w="2160"/>
          </w:tcPr>
          <w:p/>
        </w:tc>
        <w:tc>
          <w:tcPr>
            <w:tcW w:type="dxa" w:w="2160"/>
          </w:tcPr>
          <w:p/>
        </w:tc>
      </w:tr>
      <w:tr>
        <w:tc>
          <w:tcPr>
            <w:tcW w:type="dxa" w:w="2160"/>
          </w:tcPr>
          <w:p>
            <w:r>
              <w:t>6</w:t>
            </w:r>
          </w:p>
        </w:tc>
        <w:tc>
          <w:tcPr>
            <w:tcW w:type="dxa" w:w="2160"/>
          </w:tcPr>
          <w:p/>
        </w:tc>
        <w:tc>
          <w:tcPr>
            <w:tcW w:type="dxa" w:w="2160"/>
          </w:tcPr>
          <w:p/>
        </w:tc>
        <w:tc>
          <w:tcPr>
            <w:tcW w:type="dxa" w:w="2160"/>
          </w:tcPr>
          <w:p/>
        </w:tc>
      </w:tr>
      <w:tr>
        <w:tc>
          <w:tcPr>
            <w:tcW w:type="dxa" w:w="2160"/>
          </w:tcPr>
          <w:p>
            <w:r>
              <w:t>7</w:t>
            </w:r>
          </w:p>
        </w:tc>
        <w:tc>
          <w:tcPr>
            <w:tcW w:type="dxa" w:w="2160"/>
          </w:tcPr>
          <w:p/>
        </w:tc>
        <w:tc>
          <w:tcPr>
            <w:tcW w:type="dxa" w:w="2160"/>
          </w:tcPr>
          <w:p/>
        </w:tc>
        <w:tc>
          <w:tcPr>
            <w:tcW w:type="dxa" w:w="2160"/>
          </w:tcPr>
          <w:p/>
        </w:tc>
      </w:tr>
      <w:tr>
        <w:tc>
          <w:tcPr>
            <w:tcW w:type="dxa" w:w="2160"/>
          </w:tcPr>
          <w:p>
            <w:r>
              <w:t>8</w:t>
            </w:r>
          </w:p>
        </w:tc>
        <w:tc>
          <w:tcPr>
            <w:tcW w:type="dxa" w:w="2160"/>
          </w:tcPr>
          <w:p/>
        </w:tc>
        <w:tc>
          <w:tcPr>
            <w:tcW w:type="dxa" w:w="2160"/>
          </w:tcPr>
          <w:p/>
        </w:tc>
        <w:tc>
          <w:tcPr>
            <w:tcW w:type="dxa" w:w="2160"/>
          </w:tcPr>
          <w:p/>
        </w:tc>
      </w:tr>
      <w:tr>
        <w:tc>
          <w:tcPr>
            <w:tcW w:type="dxa" w:w="2160"/>
          </w:tcPr>
          <w:p>
            <w:r>
              <w:t>9</w:t>
            </w:r>
          </w:p>
        </w:tc>
        <w:tc>
          <w:tcPr>
            <w:tcW w:type="dxa" w:w="2160"/>
          </w:tcPr>
          <w:p/>
        </w:tc>
        <w:tc>
          <w:tcPr>
            <w:tcW w:type="dxa" w:w="2160"/>
          </w:tcPr>
          <w:p/>
        </w:tc>
        <w:tc>
          <w:tcPr>
            <w:tcW w:type="dxa" w:w="2160"/>
          </w:tcPr>
          <w:p/>
        </w:tc>
      </w:tr>
      <w:tr>
        <w:tc>
          <w:tcPr>
            <w:tcW w:type="dxa" w:w="2160"/>
          </w:tcPr>
          <w:p>
            <w:r>
              <w:t>10</w:t>
            </w:r>
          </w:p>
        </w:tc>
        <w:tc>
          <w:tcPr>
            <w:tcW w:type="dxa" w:w="2160"/>
          </w:tcPr>
          <w:p/>
        </w:tc>
        <w:tc>
          <w:tcPr>
            <w:tcW w:type="dxa" w:w="2160"/>
          </w:tcPr>
          <w:p/>
        </w:tc>
        <w:tc>
          <w:tcPr>
            <w:tcW w:type="dxa" w:w="2160"/>
          </w:tcPr>
          <w:p/>
        </w:tc>
      </w:tr>
      <w:tr>
        <w:tc>
          <w:tcPr>
            <w:tcW w:type="dxa" w:w="2160"/>
          </w:tcPr>
          <w:p>
            <w:r>
              <w:t>11</w:t>
            </w:r>
          </w:p>
        </w:tc>
        <w:tc>
          <w:tcPr>
            <w:tcW w:type="dxa" w:w="2160"/>
          </w:tcPr>
          <w:p/>
        </w:tc>
        <w:tc>
          <w:tcPr>
            <w:tcW w:type="dxa" w:w="2160"/>
          </w:tcPr>
          <w:p/>
        </w:tc>
        <w:tc>
          <w:tcPr>
            <w:tcW w:type="dxa" w:w="2160"/>
          </w:tcPr>
          <w:p/>
        </w:tc>
      </w:tr>
      <w:tr>
        <w:tc>
          <w:tcPr>
            <w:tcW w:type="dxa" w:w="2160"/>
          </w:tcPr>
          <w:p>
            <w:r>
              <w:t>12</w:t>
            </w:r>
          </w:p>
        </w:tc>
        <w:tc>
          <w:tcPr>
            <w:tcW w:type="dxa" w:w="2160"/>
          </w:tcPr>
          <w:p/>
        </w:tc>
        <w:tc>
          <w:tcPr>
            <w:tcW w:type="dxa" w:w="2160"/>
          </w:tcP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