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6"/>
        </w:rPr>
        <w:t>CONFERENCE PREP PACK</w:t>
      </w:r>
    </w:p>
    <w:p/>
    <w:p>
      <w:pPr>
        <w:jc w:val="center"/>
      </w:pPr>
      <w:r>
        <w:rPr>
          <w:rFonts w:ascii="Arial" w:hAnsi="Arial"/>
          <w:b/>
          <w:color w:val="003366"/>
          <w:sz w:val="48"/>
        </w:rPr>
        <w:t>JPM Healthcare Conference</w:t>
      </w:r>
    </w:p>
    <w:p>
      <w:pPr>
        <w:jc w:val="center"/>
      </w:pPr>
      <w:r>
        <w:rPr>
          <w:rFonts w:ascii="Arial" w:hAnsi="Arial"/>
          <w:color w:val="003366"/>
          <w:sz w:val="36"/>
        </w:rPr>
        <w:t>UnitedHealth Group (UNH) Meeting</w:t>
      </w:r>
    </w:p>
    <w:p/>
    <w:p/>
    <w:p>
      <w:pPr>
        <w:jc w:val="center"/>
      </w:pPr>
      <w:r>
        <w:rPr>
          <w:rFonts w:ascii="Arial" w:hAnsi="Arial"/>
          <w:color w:val="003366"/>
          <w:sz w:val="28"/>
        </w:rPr>
        <w:t>April 1, 2026 | 11:00 AM IST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28"/>
        </w:rPr>
        <w:t>Company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Last Price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$259.02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Market Cap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$235.11B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CEO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Stephen J. Hemsley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400,000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Healthcare / Health Care Plans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52-Week Range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$234.60 — $606.36 (near 52-week 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YTD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-23.00%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1Y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-49.81%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Segments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UnitedHealthcare + Optum (Health, Insight, Rx)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Last Quarter (Q4 FY2025)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Revenue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$113.22B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EPS Actual vs Est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$2.11 actual vs $2.10 est (+0.48% surprise)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Net Income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$10M (collapsed from $5.54B in Q4 2024)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Operating Income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$380M (operating margin 0.34%)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Medical Cost Ratio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Elevated, driven by Medicare funding reductions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Recent Developments</w:t>
      </w:r>
    </w:p>
    <w:p>
      <w:pPr>
        <w:spacing w:after="120"/>
      </w:pPr>
      <w:r>
        <w:rPr>
          <w:rFonts w:ascii="Arial" w:hAnsi="Arial"/>
          <w:sz w:val="22"/>
        </w:rPr>
        <w:t>Stock down ~50% from 52-week high — major headwinds. 2026 Business Realignment: Optum Financial moved from Optum Health to Optum Insight effective Jan 1, 2026. Medicare Advantage funding reductions impacting Optum Health value-based care. Elevated medical cost trends persisting. Optum Health served 95M people (down from 100M in 2024) — contraction expected in 2026. Change Healthcare cyberattack ongoing recovery costs. Q4 2025 near-zero net income driven by loss contract reserves for value-based care. Next earnings: April 21, 2026 (Q1 2026). Consensus: Buy (41 Buy / 7 Hold / 4 Sell), Target $385.38 (+49% upside).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Key Questions for UNH Meeting</w:t>
      </w:r>
    </w:p>
    <w:p>
      <w:pPr>
        <w:pStyle w:val="ListNumber"/>
        <w:ind w:left="720"/>
      </w:pPr>
      <w:r>
        <w:rPr>
          <w:rFonts w:ascii="Arial" w:hAnsi="Arial"/>
        </w:rPr>
        <w:t>Medicare Advantage Outlook: Funding reduction trajectory and pricing response for 2027</w:t>
      </w:r>
    </w:p>
    <w:p>
      <w:pPr>
        <w:pStyle w:val="ListNumber"/>
        <w:ind w:left="720"/>
      </w:pPr>
      <w:r>
        <w:rPr>
          <w:rFonts w:ascii="Arial" w:hAnsi="Arial"/>
        </w:rPr>
        <w:t>Optum Health Value-Based Care: Membership contraction pace — when does it stabilize?</w:t>
      </w:r>
    </w:p>
    <w:p>
      <w:pPr>
        <w:pStyle w:val="ListNumber"/>
        <w:ind w:left="720"/>
      </w:pPr>
      <w:r>
        <w:rPr>
          <w:rFonts w:ascii="Arial" w:hAnsi="Arial"/>
        </w:rPr>
        <w:t>Medical Cost Trends: When will MCR normalize? What's driving the persistent elevation?</w:t>
      </w:r>
    </w:p>
    <w:p>
      <w:pPr>
        <w:pStyle w:val="ListNumber"/>
        <w:ind w:left="720"/>
      </w:pPr>
      <w:r>
        <w:rPr>
          <w:rFonts w:ascii="Arial" w:hAnsi="Arial"/>
        </w:rPr>
        <w:t>2026 Realignment Impact: Early signals from Optum Financial move to Optum Insight</w:t>
      </w:r>
    </w:p>
    <w:p>
      <w:pPr>
        <w:pStyle w:val="ListNumber"/>
        <w:ind w:left="720"/>
      </w:pPr>
      <w:r>
        <w:rPr>
          <w:rFonts w:ascii="Arial" w:hAnsi="Arial"/>
        </w:rPr>
        <w:t>Optum Rx / PBM Reform: Regulatory environment and potential pricing legislation</w:t>
      </w:r>
    </w:p>
    <w:p>
      <w:pPr>
        <w:pStyle w:val="ListNumber"/>
        <w:ind w:left="720"/>
      </w:pPr>
      <w:r>
        <w:rPr>
          <w:rFonts w:ascii="Arial" w:hAnsi="Arial"/>
        </w:rPr>
        <w:t>Change Healthcare Recovery: Full recovery timeline and residual costs</w:t>
      </w:r>
    </w:p>
    <w:p>
      <w:pPr>
        <w:pStyle w:val="ListNumber"/>
        <w:ind w:left="720"/>
      </w:pPr>
      <w:r>
        <w:rPr>
          <w:rFonts w:ascii="Arial" w:hAnsi="Arial"/>
        </w:rPr>
        <w:t>Capital Allocation: Buyback/dividend sustainability given compressed margins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Note-Taking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Topic</w:t>
            </w:r>
          </w:p>
        </w:tc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Notes</w:t>
            </w:r>
          </w:p>
        </w:tc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Investment Implication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ESG &amp;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Board Independence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Executive Compensation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Performance-linked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Healthcare ESG Focus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Significant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Patient Care Quality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Key metric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