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56"/>
        </w:rPr>
        <w:t>MANAGEMENT MEETING BRIEFING</w:t>
      </w:r>
    </w:p>
    <w:p/>
    <w:p>
      <w:pPr>
        <w:jc w:val="center"/>
      </w:pPr>
      <w:r>
        <w:rPr>
          <w:rFonts w:ascii="Arial" w:hAnsi="Arial"/>
          <w:b/>
          <w:color w:val="003366"/>
          <w:sz w:val="48"/>
        </w:rPr>
        <w:t>Microsoft Corp. (MSFT)</w:t>
      </w:r>
    </w:p>
    <w:p>
      <w:pPr>
        <w:jc w:val="center"/>
      </w:pPr>
      <w:r>
        <w:rPr>
          <w:rFonts w:ascii="Arial" w:hAnsi="Arial"/>
          <w:color w:val="003366"/>
          <w:sz w:val="36"/>
        </w:rPr>
        <w:t>Management 1:1</w:t>
      </w:r>
    </w:p>
    <w:p/>
    <w:p/>
    <w:p>
      <w:pPr>
        <w:jc w:val="center"/>
      </w:pPr>
      <w:r>
        <w:rPr>
          <w:rFonts w:ascii="Arial" w:hAnsi="Arial"/>
          <w:color w:val="003366"/>
          <w:sz w:val="28"/>
        </w:rPr>
        <w:t>March 31, 2026 | 3:00 PM IST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  <w:sz w:val="28"/>
        </w:rPr>
        <w:t>Company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Metric</w:t>
            </w:r>
          </w:p>
        </w:tc>
        <w:tc>
          <w:tcPr>
            <w:tcW w:type="dxa" w:w="432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Last Price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$356.77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Market Cap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$2,649.24B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CEO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Satya Nadella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Employees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228,000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Technology / Software - Infrastructure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52-Week Range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$344.79 — $555.45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YTD Performance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-24.56% (worst quarter since 2008)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P/E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22.2x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Forward P/E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~20x (discount to S&amp;P for first time since 2015)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3366"/>
          <w:sz w:val="28"/>
        </w:rPr>
        <w:t>Last Quarter (Q2 FY2026)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Metric</w:t>
            </w:r>
          </w:p>
        </w:tc>
        <w:tc>
          <w:tcPr>
            <w:tcW w:type="dxa" w:w="432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Revenue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$81.27B (+17% YoY)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EPS (Diluted)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$5.16 vs $3.90 est (+6.15% surprise)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Azure Growth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39% YoY (AI contributing 16pp)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Microsoft Cloud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$51.5B (+26% YoY)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Operating Income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$38.27B (47% margin)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3366"/>
          <w:sz w:val="28"/>
        </w:rPr>
        <w:t>Recent Developments</w:t>
      </w:r>
    </w:p>
    <w:p>
      <w:pPr>
        <w:spacing w:after="120"/>
      </w:pPr>
      <w:r>
        <w:rPr>
          <w:rFonts w:ascii="Arial" w:hAnsi="Arial"/>
          <w:sz w:val="22"/>
        </w:rPr>
        <w:t>Stock down 24% YTD — worst quarter since 2008. Azure AI revenue could reach ~$25.7B in 2026 (Evercore estimate, above prior $21.8B). Capex including leases projected at $146B in FY2026 (+66% YoY), rising to $170B/$191B in FY27/28. Copilot limited traction — AI leadership reshuffled to improve service. Commercial remaining performance obligation hit $625B (+110% YoY). Azure growth expected to reaccelerate in H2 2026 per Evercore. Consensus: Buy (62 Buy / 16 Hold / 0 Sell), Target $583.67 (+64% upside).</w:t>
      </w:r>
    </w:p>
    <w:p/>
    <w:p>
      <w:pPr>
        <w:pStyle w:val="Heading1"/>
      </w:pPr>
      <w:r>
        <w:rPr>
          <w:rFonts w:ascii="Arial" w:hAnsi="Arial"/>
          <w:color w:val="003366"/>
          <w:sz w:val="28"/>
        </w:rPr>
        <w:t>Key Discussion Topics</w:t>
      </w:r>
    </w:p>
    <w:p>
      <w:pPr>
        <w:pStyle w:val="ListBullet"/>
        <w:ind w:left="720"/>
      </w:pPr>
      <w:r>
        <w:rPr>
          <w:rFonts w:ascii="Arial" w:hAnsi="Arial"/>
          <w:b/>
        </w:rPr>
        <w:t xml:space="preserve">Azure AI Monetization: </w:t>
      </w:r>
      <w:r>
        <w:rPr>
          <w:rFonts w:ascii="Arial" w:hAnsi="Arial"/>
        </w:rPr>
        <w:t>39% growth but slight deceleration — reacceleration timeline?</w:t>
      </w:r>
    </w:p>
    <w:p>
      <w:pPr>
        <w:pStyle w:val="ListBullet"/>
        <w:ind w:left="720"/>
      </w:pPr>
      <w:r>
        <w:rPr>
          <w:rFonts w:ascii="Arial" w:hAnsi="Arial"/>
          <w:b/>
        </w:rPr>
        <w:t xml:space="preserve">Copilot Enterprise Adoption: </w:t>
      </w:r>
      <w:r>
        <w:rPr>
          <w:rFonts w:ascii="Arial" w:hAnsi="Arial"/>
        </w:rPr>
        <w:t>Limited traction, Wave 3 and M365 E7 bundle adoption trajectory</w:t>
      </w:r>
    </w:p>
    <w:p>
      <w:pPr>
        <w:pStyle w:val="ListBullet"/>
        <w:ind w:left="720"/>
      </w:pPr>
      <w:r>
        <w:rPr>
          <w:rFonts w:ascii="Arial" w:hAnsi="Arial"/>
          <w:b/>
        </w:rPr>
        <w:t xml:space="preserve">Capex ROI Timeline: </w:t>
      </w:r>
      <w:r>
        <w:rPr>
          <w:rFonts w:ascii="Arial" w:hAnsi="Arial"/>
        </w:rPr>
        <w:t>$146B FY26 spend — when does infrastructure investment translate to revenue acceleration?</w:t>
      </w:r>
    </w:p>
    <w:p>
      <w:pPr>
        <w:pStyle w:val="ListBullet"/>
        <w:ind w:left="720"/>
      </w:pPr>
      <w:r>
        <w:rPr>
          <w:rFonts w:ascii="Arial" w:hAnsi="Arial"/>
          <w:b/>
        </w:rPr>
        <w:t xml:space="preserve">Competitive Position: </w:t>
      </w:r>
      <w:r>
        <w:rPr>
          <w:rFonts w:ascii="Arial" w:hAnsi="Arial"/>
        </w:rPr>
        <w:t>Azure market share (21%) vs AWS and GCP in AI workloads</w:t>
      </w:r>
    </w:p>
    <w:p>
      <w:pPr>
        <w:pStyle w:val="ListBullet"/>
        <w:ind w:left="720"/>
      </w:pPr>
      <w:r>
        <w:rPr>
          <w:rFonts w:ascii="Arial" w:hAnsi="Arial"/>
          <w:b/>
        </w:rPr>
        <w:t xml:space="preserve">Operating Margin Trajectory: </w:t>
      </w:r>
      <w:r>
        <w:rPr>
          <w:rFonts w:ascii="Arial" w:hAnsi="Arial"/>
        </w:rPr>
        <w:t>47% operating margin — sustainable at this capex level?</w:t>
      </w:r>
    </w:p>
    <w:p>
      <w:pPr>
        <w:pStyle w:val="ListBullet"/>
        <w:ind w:left="720"/>
      </w:pPr>
      <w:r>
        <w:rPr>
          <w:rFonts w:ascii="Arial" w:hAnsi="Arial"/>
          <w:b/>
        </w:rPr>
        <w:t xml:space="preserve">OpenAI Partnership: </w:t>
      </w:r>
      <w:r>
        <w:rPr>
          <w:rFonts w:ascii="Arial" w:hAnsi="Arial"/>
        </w:rPr>
        <w:t>GPT-5 rollout on Azure, impact on Intelligent Cloud revenue</w:t>
      </w:r>
    </w:p>
    <w:p>
      <w:pPr>
        <w:pStyle w:val="ListBullet"/>
        <w:ind w:left="720"/>
      </w:pPr>
      <w:r>
        <w:rPr>
          <w:rFonts w:ascii="Arial" w:hAnsi="Arial"/>
          <w:b/>
        </w:rPr>
        <w:t xml:space="preserve">Stock Valuation: </w:t>
      </w:r>
      <w:r>
        <w:rPr>
          <w:rFonts w:ascii="Arial" w:hAnsi="Arial"/>
        </w:rPr>
        <w:t>Trading at 22x forward — discount justified or opportunity?</w:t>
      </w:r>
    </w:p>
    <w:p/>
    <w:p>
      <w:pPr>
        <w:pStyle w:val="Heading1"/>
      </w:pPr>
      <w:r>
        <w:rPr>
          <w:rFonts w:ascii="Arial" w:hAnsi="Arial"/>
          <w:color w:val="003366"/>
          <w:sz w:val="28"/>
        </w:rPr>
        <w:t>Follow-Up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Topic</w:t>
            </w:r>
          </w:p>
        </w:tc>
        <w:tc>
          <w:tcPr>
            <w:tcW w:type="dxa" w:w="1728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Key Takeaway</w:t>
            </w:r>
          </w:p>
        </w:tc>
        <w:tc>
          <w:tcPr>
            <w:tcW w:type="dxa" w:w="1728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Action Item</w:t>
            </w:r>
          </w:p>
        </w:tc>
        <w:tc>
          <w:tcPr>
            <w:tcW w:type="dxa" w:w="1728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Owner</w:t>
            </w:r>
          </w:p>
        </w:tc>
        <w:tc>
          <w:tcPr>
            <w:tcW w:type="dxa" w:w="1728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Due Date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1"/>
      </w:pPr>
      <w:r>
        <w:rPr>
          <w:rFonts w:ascii="Arial" w:hAnsi="Arial"/>
          <w:color w:val="003366"/>
          <w:sz w:val="28"/>
        </w:rPr>
        <w:t>Financial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Metric</w:t>
            </w:r>
          </w:p>
        </w:tc>
        <w:tc>
          <w:tcPr>
            <w:tcW w:type="dxa" w:w="432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Revenue Growth YoY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+17%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Operating Margin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47%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Azure Growth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39% YoY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P/E Ratio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22.2x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Analyst Consensus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Buy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Price Target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$583.67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