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56"/>
        </w:rPr>
        <w:t>WEEKLY PORTFOLIO REVIEW</w:t>
      </w:r>
    </w:p>
    <w:p/>
    <w:p>
      <w:pPr>
        <w:jc w:val="center"/>
      </w:pPr>
      <w:r>
        <w:rPr>
          <w:rFonts w:ascii="Arial" w:hAnsi="Arial"/>
          <w:b/>
          <w:color w:val="003366"/>
          <w:sz w:val="48"/>
        </w:rPr>
        <w:t>Investment Team Meeting</w:t>
      </w:r>
    </w:p>
    <w:p>
      <w:pPr>
        <w:jc w:val="center"/>
      </w:pPr>
      <w:r>
        <w:rPr>
          <w:rFonts w:ascii="Arial" w:hAnsi="Arial"/>
          <w:color w:val="003366"/>
          <w:sz w:val="36"/>
        </w:rPr>
        <w:t>April 2, 2026 | 10:00 AM IST</w:t>
      </w:r>
    </w:p>
    <w:p/>
    <w:p/>
    <w:p>
      <w:pPr>
        <w:jc w:val="center"/>
      </w:pPr>
      <w:r>
        <w:rPr>
          <w:rFonts w:ascii="Arial" w:hAnsi="Arial"/>
          <w:color w:val="003366"/>
          <w:sz w:val="28"/>
        </w:rPr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3366"/>
          <w:sz w:val="28"/>
        </w:rPr>
        <w:t>Market Context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Metric</w:t>
            </w:r>
          </w:p>
        </w:tc>
        <w:tc>
          <w:tcPr>
            <w:tcW w:type="dxa" w:w="432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S&amp;P 500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6,368.85 (-1.67% 1D, -7.82% 1M, -6.96% YTD)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NASDAQ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20,948.36 (-2.15% 1D, -9.87% YTD)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VIX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31.05 (+107.69% YTD — elevated fear)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10Y Treasury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4.44%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Crude Oil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$99.64 (+72.78% YTD)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Gold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$4,492.50 (+2.41% YTD)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Bitcoin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$66,427.73 (-25.14% YTD)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3366"/>
          <w:sz w:val="28"/>
        </w:rPr>
        <w:t>Sector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Sector (ETF)</w:t>
            </w:r>
          </w:p>
        </w:tc>
        <w:tc>
          <w:tcPr>
            <w:tcW w:type="dxa" w:w="288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1M Return</w:t>
            </w:r>
          </w:p>
        </w:tc>
        <w:tc>
          <w:tcPr>
            <w:tcW w:type="dxa" w:w="288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YTD Return</w:t>
            </w:r>
          </w:p>
        </w:tc>
      </w:tr>
      <w:tr>
        <w:tc>
          <w:tcPr>
            <w:tcW w:type="dxa" w:w="2880"/>
          </w:tcPr>
          <w:p>
            <w:r>
              <w:t>Energy (XLE)</w:t>
            </w:r>
          </w:p>
        </w:tc>
        <w:tc>
          <w:tcPr>
            <w:tcW w:type="dxa" w:w="2880"/>
          </w:tcPr>
          <w:p>
            <w:r>
              <w:t>+13.64%</w:t>
            </w:r>
          </w:p>
        </w:tc>
        <w:tc>
          <w:tcPr>
            <w:tcW w:type="dxa" w:w="2880"/>
          </w:tcPr>
          <w:p>
            <w:r>
              <w:t>+39.92%</w:t>
            </w:r>
          </w:p>
        </w:tc>
      </w:tr>
      <w:tr>
        <w:tc>
          <w:tcPr>
            <w:tcW w:type="dxa" w:w="2880"/>
          </w:tcPr>
          <w:p>
            <w:r>
              <w:t>Tech (XLK)</w:t>
            </w:r>
          </w:p>
        </w:tc>
        <w:tc>
          <w:tcPr>
            <w:tcW w:type="dxa" w:w="2880"/>
          </w:tcPr>
          <w:p>
            <w:r>
              <w:t>-7.86%</w:t>
            </w:r>
          </w:p>
        </w:tc>
        <w:tc>
          <w:tcPr>
            <w:tcW w:type="dxa" w:w="2880"/>
          </w:tcPr>
          <w:p>
            <w:r>
              <w:t>-9.76%</w:t>
            </w:r>
          </w:p>
        </w:tc>
      </w:tr>
      <w:tr>
        <w:tc>
          <w:tcPr>
            <w:tcW w:type="dxa" w:w="2880"/>
          </w:tcPr>
          <w:p>
            <w:r>
              <w:t>Healthcare (XLV)</w:t>
            </w:r>
          </w:p>
        </w:tc>
        <w:tc>
          <w:tcPr>
            <w:tcW w:type="dxa" w:w="2880"/>
          </w:tcPr>
          <w:p>
            <w:r>
              <w:t>-9.00%</w:t>
            </w:r>
          </w:p>
        </w:tc>
        <w:tc>
          <w:tcPr>
            <w:tcW w:type="dxa" w:w="2880"/>
          </w:tcPr>
          <w:p>
            <w:r>
              <w:t>-7.45%</w:t>
            </w:r>
          </w:p>
        </w:tc>
      </w:tr>
      <w:tr>
        <w:tc>
          <w:tcPr>
            <w:tcW w:type="dxa" w:w="2880"/>
          </w:tcPr>
          <w:p>
            <w:r>
              <w:t>Financials (XLF)</w:t>
            </w:r>
          </w:p>
        </w:tc>
        <w:tc>
          <w:tcPr>
            <w:tcW w:type="dxa" w:w="2880"/>
          </w:tcPr>
          <w:p>
            <w:r>
              <w:t>-8.93%</w:t>
            </w:r>
          </w:p>
        </w:tc>
        <w:tc>
          <w:tcPr>
            <w:tcW w:type="dxa" w:w="2880"/>
          </w:tcPr>
          <w:p>
            <w:r>
              <w:t>-12.71%</w:t>
            </w:r>
          </w:p>
        </w:tc>
      </w:tr>
      <w:tr>
        <w:tc>
          <w:tcPr>
            <w:tcW w:type="dxa" w:w="2880"/>
          </w:tcPr>
          <w:p>
            <w:r>
              <w:t>Consumer Disc (XLY)</w:t>
            </w:r>
          </w:p>
        </w:tc>
        <w:tc>
          <w:tcPr>
            <w:tcW w:type="dxa" w:w="2880"/>
          </w:tcPr>
          <w:p>
            <w:r>
              <w:t>-9.71%</w:t>
            </w:r>
          </w:p>
        </w:tc>
        <w:tc>
          <w:tcPr>
            <w:tcW w:type="dxa" w:w="2880"/>
          </w:tcPr>
          <w:p>
            <w:r>
              <w:t>-11.50%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3366"/>
          <w:sz w:val="28"/>
        </w:rPr>
        <w:t>Portfolio Holdings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Position</w:t>
            </w:r>
          </w:p>
        </w:tc>
        <w:tc>
          <w:tcPr>
            <w:tcW w:type="dxa" w:w="144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Last Price</w:t>
            </w:r>
          </w:p>
        </w:tc>
        <w:tc>
          <w:tcPr>
            <w:tcW w:type="dxa" w:w="144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1W Return</w:t>
            </w:r>
          </w:p>
        </w:tc>
        <w:tc>
          <w:tcPr>
            <w:tcW w:type="dxa" w:w="144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1M Return</w:t>
            </w:r>
          </w:p>
        </w:tc>
        <w:tc>
          <w:tcPr>
            <w:tcW w:type="dxa" w:w="144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YTD</w:t>
            </w:r>
          </w:p>
        </w:tc>
        <w:tc>
          <w:tcPr>
            <w:tcW w:type="dxa" w:w="144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Consensus</w:t>
            </w:r>
          </w:p>
        </w:tc>
      </w:tr>
      <w:tr>
        <w:tc>
          <w:tcPr>
            <w:tcW w:type="dxa" w:w="1440"/>
          </w:tcPr>
          <w:p>
            <w:r>
              <w:t>AAPL</w:t>
            </w:r>
          </w:p>
        </w:tc>
        <w:tc>
          <w:tcPr>
            <w:tcW w:type="dxa" w:w="1440"/>
          </w:tcPr>
          <w:p>
            <w:r>
              <w:t>$248.80</w:t>
            </w:r>
          </w:p>
        </w:tc>
        <w:tc>
          <w:tcPr>
            <w:tcW w:type="dxa" w:w="1440"/>
          </w:tcPr>
          <w:p>
            <w:r>
              <w:t>+1.2%</w:t>
            </w:r>
          </w:p>
        </w:tc>
        <w:tc>
          <w:tcPr>
            <w:tcW w:type="dxa" w:w="1440"/>
          </w:tcPr>
          <w:p>
            <w:r>
              <w:t>-3.5%</w:t>
            </w:r>
          </w:p>
        </w:tc>
        <w:tc>
          <w:tcPr>
            <w:tcW w:type="dxa" w:w="1440"/>
          </w:tcPr>
          <w:p>
            <w:r>
              <w:t>+6.3%</w:t>
            </w:r>
          </w:p>
        </w:tc>
        <w:tc>
          <w:tcPr>
            <w:tcW w:type="dxa" w:w="1440"/>
          </w:tcPr>
          <w:p>
            <w:r>
              <w:t>Buy</w:t>
            </w:r>
          </w:p>
        </w:tc>
      </w:tr>
      <w:tr>
        <w:tc>
          <w:tcPr>
            <w:tcW w:type="dxa" w:w="1440"/>
          </w:tcPr>
          <w:p>
            <w:r>
              <w:t>AMZN</w:t>
            </w:r>
          </w:p>
        </w:tc>
        <w:tc>
          <w:tcPr>
            <w:tcW w:type="dxa" w:w="1440"/>
          </w:tcPr>
          <w:p>
            <w:r>
              <w:t>$199.34</w:t>
            </w:r>
          </w:p>
        </w:tc>
        <w:tc>
          <w:tcPr>
            <w:tcW w:type="dxa" w:w="1440"/>
          </w:tcPr>
          <w:p>
            <w:r>
              <w:t>-0.8%</w:t>
            </w:r>
          </w:p>
        </w:tc>
        <w:tc>
          <w:tcPr>
            <w:tcW w:type="dxa" w:w="1440"/>
          </w:tcPr>
          <w:p>
            <w:r>
              <w:t>-5.2%</w:t>
            </w:r>
          </w:p>
        </w:tc>
        <w:tc>
          <w:tcPr>
            <w:tcW w:type="dxa" w:w="1440"/>
          </w:tcPr>
          <w:p>
            <w:r>
              <w:t>+3.8%</w:t>
            </w:r>
          </w:p>
        </w:tc>
        <w:tc>
          <w:tcPr>
            <w:tcW w:type="dxa" w:w="1440"/>
          </w:tcPr>
          <w:p>
            <w:r>
              <w:t>Strong Buy</w:t>
            </w:r>
          </w:p>
        </w:tc>
      </w:tr>
      <w:tr>
        <w:tc>
          <w:tcPr>
            <w:tcW w:type="dxa" w:w="1440"/>
          </w:tcPr>
          <w:p>
            <w:r>
              <w:t>MSFT</w:t>
            </w:r>
          </w:p>
        </w:tc>
        <w:tc>
          <w:tcPr>
            <w:tcW w:type="dxa" w:w="1440"/>
          </w:tcPr>
          <w:p>
            <w:r>
              <w:t>$356.77</w:t>
            </w:r>
          </w:p>
        </w:tc>
        <w:tc>
          <w:tcPr>
            <w:tcW w:type="dxa" w:w="1440"/>
          </w:tcPr>
          <w:p>
            <w:r>
              <w:t>-7.1%</w:t>
            </w:r>
          </w:p>
        </w:tc>
        <w:tc>
          <w:tcPr>
            <w:tcW w:type="dxa" w:w="1440"/>
          </w:tcPr>
          <w:p>
            <w:r>
              <w:t>-9.2%</w:t>
            </w:r>
          </w:p>
        </w:tc>
        <w:tc>
          <w:tcPr>
            <w:tcW w:type="dxa" w:w="1440"/>
          </w:tcPr>
          <w:p>
            <w:r>
              <w:t>-24.6%</w:t>
            </w:r>
          </w:p>
        </w:tc>
        <w:tc>
          <w:tcPr>
            <w:tcW w:type="dxa" w:w="1440"/>
          </w:tcPr>
          <w:p>
            <w:r>
              <w:t>Buy</w:t>
            </w:r>
          </w:p>
        </w:tc>
      </w:tr>
      <w:tr>
        <w:tc>
          <w:tcPr>
            <w:tcW w:type="dxa" w:w="1440"/>
          </w:tcPr>
          <w:p>
            <w:r>
              <w:t>UNH</w:t>
            </w:r>
          </w:p>
        </w:tc>
        <w:tc>
          <w:tcPr>
            <w:tcW w:type="dxa" w:w="1440"/>
          </w:tcPr>
          <w:p>
            <w:r>
              <w:t>$259.02</w:t>
            </w:r>
          </w:p>
        </w:tc>
        <w:tc>
          <w:tcPr>
            <w:tcW w:type="dxa" w:w="1440"/>
          </w:tcPr>
          <w:p>
            <w:r>
              <w:t>-7.2%</w:t>
            </w:r>
          </w:p>
        </w:tc>
        <w:tc>
          <w:tcPr>
            <w:tcW w:type="dxa" w:w="1440"/>
          </w:tcPr>
          <w:p>
            <w:r>
              <w:t>-11.7%</w:t>
            </w:r>
          </w:p>
        </w:tc>
        <w:tc>
          <w:tcPr>
            <w:tcW w:type="dxa" w:w="1440"/>
          </w:tcPr>
          <w:p>
            <w:r>
              <w:t>-23.0%</w:t>
            </w:r>
          </w:p>
        </w:tc>
        <w:tc>
          <w:tcPr>
            <w:tcW w:type="dxa" w:w="1440"/>
          </w:tcPr>
          <w:p>
            <w:r>
              <w:t>Buy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3366"/>
          <w:sz w:val="28"/>
        </w:rPr>
        <w:t>Key Movers This Week</w:t>
      </w:r>
    </w:p>
    <w:p>
      <w:pPr>
        <w:pStyle w:val="ListBullet"/>
        <w:ind w:left="720"/>
      </w:pPr>
      <w:r>
        <w:rPr>
          <w:rFonts w:ascii="Arial" w:hAnsi="Arial"/>
        </w:rPr>
        <w:t>MSFT down 7.1% on AI capex concerns and worst quarter since 2008</w:t>
      </w:r>
    </w:p>
    <w:p>
      <w:pPr>
        <w:pStyle w:val="ListBullet"/>
        <w:ind w:left="720"/>
      </w:pPr>
      <w:r>
        <w:rPr>
          <w:rFonts w:ascii="Arial" w:hAnsi="Arial"/>
        </w:rPr>
        <w:t>UNH down 7.2% on continued Medicare Advantage headwinds</w:t>
      </w:r>
    </w:p>
    <w:p/>
    <w:p>
      <w:pPr>
        <w:pStyle w:val="Heading1"/>
      </w:pPr>
      <w:r>
        <w:rPr>
          <w:rFonts w:ascii="Arial" w:hAnsi="Arial"/>
          <w:color w:val="003366"/>
          <w:sz w:val="28"/>
        </w:rPr>
        <w:t>Upcoming Catalysts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Date</w:t>
            </w:r>
          </w:p>
        </w:tc>
        <w:tc>
          <w:tcPr>
            <w:tcW w:type="dxa" w:w="288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Company</w:t>
            </w:r>
          </w:p>
        </w:tc>
        <w:tc>
          <w:tcPr>
            <w:tcW w:type="dxa" w:w="288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Event</w:t>
            </w:r>
          </w:p>
        </w:tc>
      </w:tr>
      <w:tr>
        <w:tc>
          <w:tcPr>
            <w:tcW w:type="dxa" w:w="2880"/>
          </w:tcPr>
          <w:p>
            <w:r>
              <w:t>Mar 30</w:t>
            </w:r>
          </w:p>
        </w:tc>
        <w:tc>
          <w:tcPr>
            <w:tcW w:type="dxa" w:w="2880"/>
          </w:tcPr>
          <w:p>
            <w:r>
              <w:t>AAPL</w:t>
            </w:r>
          </w:p>
        </w:tc>
        <w:tc>
          <w:tcPr>
            <w:tcW w:type="dxa" w:w="2880"/>
          </w:tcPr>
          <w:p>
            <w:r>
              <w:t>Q2 FY2026 Earnings Call</w:t>
            </w:r>
          </w:p>
        </w:tc>
      </w:tr>
      <w:tr>
        <w:tc>
          <w:tcPr>
            <w:tcW w:type="dxa" w:w="2880"/>
          </w:tcPr>
          <w:p>
            <w:r>
              <w:t>Apr 1</w:t>
            </w:r>
          </w:p>
        </w:tc>
        <w:tc>
          <w:tcPr>
            <w:tcW w:type="dxa" w:w="2880"/>
          </w:tcPr>
          <w:p>
            <w:r>
              <w:t>AMZN</w:t>
            </w:r>
          </w:p>
        </w:tc>
        <w:tc>
          <w:tcPr>
            <w:tcW w:type="dxa" w:w="2880"/>
          </w:tcPr>
          <w:p>
            <w:r>
              <w:t>Q1 FY2026 Earnings Call</w:t>
            </w:r>
          </w:p>
        </w:tc>
      </w:tr>
      <w:tr>
        <w:tc>
          <w:tcPr>
            <w:tcW w:type="dxa" w:w="2880"/>
          </w:tcPr>
          <w:p>
            <w:r>
              <w:t>Apr 1</w:t>
            </w:r>
          </w:p>
        </w:tc>
        <w:tc>
          <w:tcPr>
            <w:tcW w:type="dxa" w:w="2880"/>
          </w:tcPr>
          <w:p>
            <w:r>
              <w:t>JPM HC</w:t>
            </w:r>
          </w:p>
        </w:tc>
        <w:tc>
          <w:tcPr>
            <w:tcW w:type="dxa" w:w="2880"/>
          </w:tcPr>
          <w:p>
            <w:r>
              <w:t>JPM Healthcare Conference (UNH meeting)</w:t>
            </w:r>
          </w:p>
        </w:tc>
      </w:tr>
      <w:tr>
        <w:tc>
          <w:tcPr>
            <w:tcW w:type="dxa" w:w="2880"/>
          </w:tcPr>
          <w:p>
            <w:r>
              <w:t>Apr 21</w:t>
            </w:r>
          </w:p>
        </w:tc>
        <w:tc>
          <w:tcPr>
            <w:tcW w:type="dxa" w:w="2880"/>
          </w:tcPr>
          <w:p>
            <w:r>
              <w:t>UNH</w:t>
            </w:r>
          </w:p>
        </w:tc>
        <w:tc>
          <w:tcPr>
            <w:tcW w:type="dxa" w:w="2880"/>
          </w:tcPr>
          <w:p>
            <w:r>
              <w:t>Q1 2026 Earnings</w:t>
            </w:r>
          </w:p>
        </w:tc>
      </w:tr>
      <w:tr>
        <w:tc>
          <w:tcPr>
            <w:tcW w:type="dxa" w:w="2880"/>
          </w:tcPr>
          <w:p>
            <w:r>
              <w:t>Apr 29</w:t>
            </w:r>
          </w:p>
        </w:tc>
        <w:tc>
          <w:tcPr>
            <w:tcW w:type="dxa" w:w="2880"/>
          </w:tcPr>
          <w:p>
            <w:r>
              <w:t>MSFT</w:t>
            </w:r>
          </w:p>
        </w:tc>
        <w:tc>
          <w:tcPr>
            <w:tcW w:type="dxa" w:w="2880"/>
          </w:tcPr>
          <w:p>
            <w:r>
              <w:t>Q3 2026 Earnings</w:t>
            </w:r>
          </w:p>
        </w:tc>
      </w:tr>
      <w:tr>
        <w:tc>
          <w:tcPr>
            <w:tcW w:type="dxa" w:w="2880"/>
          </w:tcPr>
          <w:p>
            <w:r>
              <w:t>Apr 30</w:t>
            </w:r>
          </w:p>
        </w:tc>
        <w:tc>
          <w:tcPr>
            <w:tcW w:type="dxa" w:w="2880"/>
          </w:tcPr>
          <w:p>
            <w:r>
              <w:t>AAPL</w:t>
            </w:r>
          </w:p>
        </w:tc>
        <w:tc>
          <w:tcPr>
            <w:tcW w:type="dxa" w:w="2880"/>
          </w:tcPr>
          <w:p>
            <w:r>
              <w:t>Q2 2026 Earnings (official)</w:t>
            </w:r>
          </w:p>
        </w:tc>
      </w:tr>
      <w:tr>
        <w:tc>
          <w:tcPr>
            <w:tcW w:type="dxa" w:w="2880"/>
          </w:tcPr>
          <w:p>
            <w:r>
              <w:t>Apr 30</w:t>
            </w:r>
          </w:p>
        </w:tc>
        <w:tc>
          <w:tcPr>
            <w:tcW w:type="dxa" w:w="2880"/>
          </w:tcPr>
          <w:p>
            <w:r>
              <w:t>AMZN</w:t>
            </w:r>
          </w:p>
        </w:tc>
        <w:tc>
          <w:tcPr>
            <w:tcW w:type="dxa" w:w="2880"/>
          </w:tcPr>
          <w:p>
            <w:r>
              <w:t>Q1 2026 Earnings (official)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3366"/>
          <w:sz w:val="28"/>
        </w:rPr>
        <w:t>Discussion Items &amp;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Item</w:t>
            </w:r>
          </w:p>
        </w:tc>
        <w:tc>
          <w:tcPr>
            <w:tcW w:type="dxa" w:w="216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Owner</w:t>
            </w:r>
          </w:p>
        </w:tc>
        <w:tc>
          <w:tcPr>
            <w:tcW w:type="dxa" w:w="216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Status</w:t>
            </w:r>
          </w:p>
        </w:tc>
        <w:tc>
          <w:tcPr>
            <w:tcW w:type="dxa" w:w="2160"/>
            <w:shd w:fill="e8edf2"/>
          </w:tcPr>
          <w:p>
            <w:r>
              <w:rPr>
                <w:rFonts w:ascii="Arial" w:hAnsi="Arial"/>
                <w:b/>
                <w:color w:val="003366"/>
              </w:rPr>
              <w:t>Due Date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