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E05A47"/>
          <w:sz w:val="20"/>
        </w:rPr>
        <w:t>DATA SCIENCE TECHNICAL BLUEPRINT • WEEK 2 DELIVERABLE</w:t>
        <w:br/>
      </w:r>
      <w:r>
        <w:rPr>
          <w:b/>
          <w:color w:val="1B365D"/>
          <w:sz w:val="44"/>
        </w:rPr>
        <w:t>Exploratory Data Analysis (EDA) &amp; Visualization Framework Design</w:t>
      </w:r>
    </w:p>
    <w:p>
      <w:pPr>
        <w:spacing w:after="320"/>
      </w:pPr>
      <w:r>
        <w:rPr>
          <w:i/>
          <w:color w:val="1B365D"/>
          <w:sz w:val="21"/>
        </w:rPr>
        <w:t>Author: Arun Pandian | Email: arunpandi47777@gmail.com</w:t>
        <w:br/>
        <w:t>Track: Data Science &amp; AI Research | Status: Production Blueprint</w:t>
      </w:r>
    </w:p>
    <w:p>
      <w:pPr>
        <w:spacing w:after="280"/>
      </w:pPr>
      <w:r>
        <w:rPr>
          <w:color w:val="BDC3C7"/>
        </w:rPr>
        <w:t>━━━━━━━━━━━━━━━━━━━━━━━━━━━━━━━━━━━━━━━━━━━━━━━━━━━━━━━</w:t>
      </w:r>
    </w:p>
    <w:p>
      <w:pPr>
        <w:pStyle w:val="Heading1"/>
        <w:spacing w:before="280" w:after="120"/>
      </w:pPr>
      <w:r>
        <w:rPr>
          <w:color w:val="1B365D"/>
        </w:rPr>
        <w:t>1. Introduction to Exploratory Data Analysis (EDA)</w:t>
      </w:r>
    </w:p>
    <w:p>
      <w:pPr>
        <w:spacing w:after="160"/>
      </w:pPr>
      <w:r>
        <w:t>Exploratory Data Analysis (EDA) is the foundational, non-negotiable first phase of any rigorous Data Science and Machine Learning lifecycle. Pioneered by statistician John Tukey in 1977, EDA is an investigative philosophy and analytical discipline that emphasizes understanding the underlying structure, distributional properties, anomalies, and relational dynamics of a dataset before imposing parametric assumptions or building predictive models.</w:t>
      </w:r>
    </w:p>
    <w:p>
      <w:pPr>
        <w:spacing w:after="200"/>
      </w:pPr>
      <w:r>
        <w:t>In modern enterprise data environments, rushing into feature engineering or model training without exhaustive EDA frequently leads to severe downstream failure modes, including 'Garbage-In, Garbage-Out' (GIGO) phenomena, silent data leakage, multicollinearity degradation, bias amplification, and catastrophic model drift in production. EDA transforms raw, unvetted data into an audited, structured, and statistically grounded asset.</w:t>
      </w:r>
    </w:p>
    <w:tbl>
      <w:tblPr>
        <w:tblW w:type="auto" w:w="0"/>
        <w:jc w:val="center"/>
        <w:tblLook w:firstColumn="1" w:firstRow="1" w:lastColumn="0" w:lastRow="0" w:noHBand="0" w:noVBand="1" w:val="04A0"/>
      </w:tblPr>
      <w:tblGrid>
        <w:gridCol w:w="2160"/>
        <w:gridCol w:w="3168"/>
        <w:gridCol w:w="4032"/>
      </w:tblGrid>
      <w:tr>
        <w:tc>
          <w:tcPr>
            <w:tcW w:type="dxa" w:w="3120"/>
            <w:shd w:fill="1B365D"/>
            <w:tcMar>
              <w:top w:w="120" w:type="dxa"/>
              <w:bottom w:w="120" w:type="dxa"/>
              <w:left w:w="140" w:type="dxa"/>
              <w:right w:w="140" w:type="dxa"/>
            </w:tcMar>
          </w:tcPr>
          <w:p>
            <w:pPr>
              <w:jc w:val="left"/>
            </w:pPr>
            <w:r>
              <w:rPr>
                <w:b/>
                <w:color w:val="FFFFFF"/>
                <w:sz w:val="19"/>
              </w:rPr>
              <w:t>Core Dimension</w:t>
            </w:r>
          </w:p>
        </w:tc>
        <w:tc>
          <w:tcPr>
            <w:tcW w:type="dxa" w:w="3120"/>
            <w:shd w:fill="1B365D"/>
            <w:tcMar>
              <w:top w:w="120" w:type="dxa"/>
              <w:bottom w:w="120" w:type="dxa"/>
              <w:left w:w="140" w:type="dxa"/>
              <w:right w:w="140" w:type="dxa"/>
            </w:tcMar>
          </w:tcPr>
          <w:p>
            <w:pPr>
              <w:jc w:val="left"/>
            </w:pPr>
            <w:r>
              <w:rPr>
                <w:b/>
                <w:color w:val="FFFFFF"/>
                <w:sz w:val="19"/>
              </w:rPr>
              <w:t>Primary Objective</w:t>
            </w:r>
          </w:p>
        </w:tc>
        <w:tc>
          <w:tcPr>
            <w:tcW w:type="dxa" w:w="3120"/>
            <w:shd w:fill="1B365D"/>
            <w:tcMar>
              <w:top w:w="120" w:type="dxa"/>
              <w:bottom w:w="120" w:type="dxa"/>
              <w:left w:w="140" w:type="dxa"/>
              <w:right w:w="140" w:type="dxa"/>
            </w:tcMar>
          </w:tcPr>
          <w:p>
            <w:pPr>
              <w:jc w:val="left"/>
            </w:pPr>
            <w:r>
              <w:rPr>
                <w:b/>
                <w:color w:val="FFFFFF"/>
                <w:sz w:val="19"/>
              </w:rPr>
              <w:t>Business &amp; Engineering Impact</w:t>
            </w:r>
          </w:p>
        </w:tc>
      </w:tr>
      <w:tr>
        <w:tc>
          <w:tcPr>
            <w:tcW w:type="dxa" w:w="3120"/>
            <w:shd w:fill="F8F9FA"/>
            <w:tcMar>
              <w:top w:w="80" w:type="dxa"/>
              <w:bottom w:w="80" w:type="dxa"/>
              <w:left w:w="120" w:type="dxa"/>
              <w:right w:w="120" w:type="dxa"/>
            </w:tcMar>
          </w:tcPr>
          <w:p>
            <w:r>
              <w:rPr>
                <w:color w:val="2C3E50"/>
                <w:sz w:val="18"/>
              </w:rPr>
              <w:t>Structural Auditing</w:t>
            </w:r>
          </w:p>
        </w:tc>
        <w:tc>
          <w:tcPr>
            <w:tcW w:type="dxa" w:w="3120"/>
            <w:shd w:fill="F8F9FA"/>
            <w:tcMar>
              <w:top w:w="80" w:type="dxa"/>
              <w:bottom w:w="80" w:type="dxa"/>
              <w:left w:w="120" w:type="dxa"/>
              <w:right w:w="120" w:type="dxa"/>
            </w:tcMar>
          </w:tcPr>
          <w:p>
            <w:r>
              <w:rPr>
                <w:color w:val="2C3E50"/>
                <w:sz w:val="18"/>
              </w:rPr>
              <w:t>Assess dimensions, feature types, memory footprint, and data schemas.</w:t>
            </w:r>
          </w:p>
        </w:tc>
        <w:tc>
          <w:tcPr>
            <w:tcW w:type="dxa" w:w="3120"/>
            <w:shd w:fill="F8F9FA"/>
            <w:tcMar>
              <w:top w:w="80" w:type="dxa"/>
              <w:bottom w:w="80" w:type="dxa"/>
              <w:left w:w="120" w:type="dxa"/>
              <w:right w:w="120" w:type="dxa"/>
            </w:tcMar>
          </w:tcPr>
          <w:p>
            <w:r>
              <w:rPr>
                <w:color w:val="2C3E50"/>
                <w:sz w:val="18"/>
              </w:rPr>
              <w:t>Prevents runtime schema errors and optimizes memory allocation.</w:t>
            </w:r>
          </w:p>
        </w:tc>
      </w:tr>
      <w:tr>
        <w:tc>
          <w:tcPr>
            <w:tcW w:type="dxa" w:w="3120"/>
            <w:shd w:fill="FFFFFF"/>
            <w:tcMar>
              <w:top w:w="80" w:type="dxa"/>
              <w:bottom w:w="80" w:type="dxa"/>
              <w:left w:w="120" w:type="dxa"/>
              <w:right w:w="120" w:type="dxa"/>
            </w:tcMar>
          </w:tcPr>
          <w:p>
            <w:r>
              <w:rPr>
                <w:color w:val="2C3E50"/>
                <w:sz w:val="18"/>
              </w:rPr>
              <w:t>Data Quality Assessment</w:t>
            </w:r>
          </w:p>
        </w:tc>
        <w:tc>
          <w:tcPr>
            <w:tcW w:type="dxa" w:w="3120"/>
            <w:shd w:fill="FFFFFF"/>
            <w:tcMar>
              <w:top w:w="80" w:type="dxa"/>
              <w:bottom w:w="80" w:type="dxa"/>
              <w:left w:w="120" w:type="dxa"/>
              <w:right w:w="120" w:type="dxa"/>
            </w:tcMar>
          </w:tcPr>
          <w:p>
            <w:r>
              <w:rPr>
                <w:color w:val="2C3E50"/>
                <w:sz w:val="18"/>
              </w:rPr>
              <w:t>Identify missingness patterns (MCAR/MAR/MNAR), anomalies, and corruption.</w:t>
            </w:r>
          </w:p>
        </w:tc>
        <w:tc>
          <w:tcPr>
            <w:tcW w:type="dxa" w:w="3120"/>
            <w:shd w:fill="FFFFFF"/>
            <w:tcMar>
              <w:top w:w="80" w:type="dxa"/>
              <w:bottom w:w="80" w:type="dxa"/>
              <w:left w:w="120" w:type="dxa"/>
              <w:right w:w="120" w:type="dxa"/>
            </w:tcMar>
          </w:tcPr>
          <w:p>
            <w:r>
              <w:rPr>
                <w:color w:val="2C3E50"/>
                <w:sz w:val="18"/>
              </w:rPr>
              <w:t>Determines valid imputation strategies and eliminates corrupted records.</w:t>
            </w:r>
          </w:p>
        </w:tc>
      </w:tr>
      <w:tr>
        <w:tc>
          <w:tcPr>
            <w:tcW w:type="dxa" w:w="3120"/>
            <w:shd w:fill="F8F9FA"/>
            <w:tcMar>
              <w:top w:w="80" w:type="dxa"/>
              <w:bottom w:w="80" w:type="dxa"/>
              <w:left w:w="120" w:type="dxa"/>
              <w:right w:w="120" w:type="dxa"/>
            </w:tcMar>
          </w:tcPr>
          <w:p>
            <w:r>
              <w:rPr>
                <w:color w:val="2C3E50"/>
                <w:sz w:val="18"/>
              </w:rPr>
              <w:t>Distributional Profiling</w:t>
            </w:r>
          </w:p>
        </w:tc>
        <w:tc>
          <w:tcPr>
            <w:tcW w:type="dxa" w:w="3120"/>
            <w:shd w:fill="F8F9FA"/>
            <w:tcMar>
              <w:top w:w="80" w:type="dxa"/>
              <w:bottom w:w="80" w:type="dxa"/>
              <w:left w:w="120" w:type="dxa"/>
              <w:right w:w="120" w:type="dxa"/>
            </w:tcMar>
          </w:tcPr>
          <w:p>
            <w:r>
              <w:rPr>
                <w:color w:val="2C3E50"/>
                <w:sz w:val="18"/>
              </w:rPr>
              <w:t>Quantify central tendency, dispersion, skewness, and modality.</w:t>
            </w:r>
          </w:p>
        </w:tc>
        <w:tc>
          <w:tcPr>
            <w:tcW w:type="dxa" w:w="3120"/>
            <w:shd w:fill="F8F9FA"/>
            <w:tcMar>
              <w:top w:w="80" w:type="dxa"/>
              <w:bottom w:w="80" w:type="dxa"/>
              <w:left w:w="120" w:type="dxa"/>
              <w:right w:w="120" w:type="dxa"/>
            </w:tcMar>
          </w:tcPr>
          <w:p>
            <w:r>
              <w:rPr>
                <w:color w:val="2C3E50"/>
                <w:sz w:val="18"/>
              </w:rPr>
              <w:t>Informs necessary non-linear transformations (Log, Box-Cox, Scaling).</w:t>
            </w:r>
          </w:p>
        </w:tc>
      </w:tr>
      <w:tr>
        <w:tc>
          <w:tcPr>
            <w:tcW w:type="dxa" w:w="3120"/>
            <w:shd w:fill="FFFFFF"/>
            <w:tcMar>
              <w:top w:w="80" w:type="dxa"/>
              <w:bottom w:w="80" w:type="dxa"/>
              <w:left w:w="120" w:type="dxa"/>
              <w:right w:w="120" w:type="dxa"/>
            </w:tcMar>
          </w:tcPr>
          <w:p>
            <w:r>
              <w:rPr>
                <w:color w:val="2C3E50"/>
                <w:sz w:val="18"/>
              </w:rPr>
              <w:t>Hypothesis &amp; Pattern Mining</w:t>
            </w:r>
          </w:p>
        </w:tc>
        <w:tc>
          <w:tcPr>
            <w:tcW w:type="dxa" w:w="3120"/>
            <w:shd w:fill="FFFFFF"/>
            <w:tcMar>
              <w:top w:w="80" w:type="dxa"/>
              <w:bottom w:w="80" w:type="dxa"/>
              <w:left w:w="120" w:type="dxa"/>
              <w:right w:w="120" w:type="dxa"/>
            </w:tcMar>
          </w:tcPr>
          <w:p>
            <w:r>
              <w:rPr>
                <w:color w:val="2C3E50"/>
                <w:sz w:val="18"/>
              </w:rPr>
              <w:t>Uncover non-obvious correlations, multi-way interactions, and clusters.</w:t>
            </w:r>
          </w:p>
        </w:tc>
        <w:tc>
          <w:tcPr>
            <w:tcW w:type="dxa" w:w="3120"/>
            <w:shd w:fill="FFFFFF"/>
            <w:tcMar>
              <w:top w:w="80" w:type="dxa"/>
              <w:bottom w:w="80" w:type="dxa"/>
              <w:left w:w="120" w:type="dxa"/>
              <w:right w:w="120" w:type="dxa"/>
            </w:tcMar>
          </w:tcPr>
          <w:p>
            <w:r>
              <w:rPr>
                <w:color w:val="2C3E50"/>
                <w:sz w:val="18"/>
              </w:rPr>
              <w:t>Guides high-yield domain feature engineering and hypothesis testing.</w:t>
            </w:r>
          </w:p>
        </w:tc>
      </w:tr>
      <w:tr>
        <w:tc>
          <w:tcPr>
            <w:tcW w:type="dxa" w:w="3120"/>
            <w:shd w:fill="F8F9FA"/>
            <w:tcMar>
              <w:top w:w="80" w:type="dxa"/>
              <w:bottom w:w="80" w:type="dxa"/>
              <w:left w:w="120" w:type="dxa"/>
              <w:right w:w="120" w:type="dxa"/>
            </w:tcMar>
          </w:tcPr>
          <w:p>
            <w:r>
              <w:rPr>
                <w:color w:val="2C3E50"/>
                <w:sz w:val="18"/>
              </w:rPr>
              <w:t>Assumptions Validation</w:t>
            </w:r>
          </w:p>
        </w:tc>
        <w:tc>
          <w:tcPr>
            <w:tcW w:type="dxa" w:w="3120"/>
            <w:shd w:fill="F8F9FA"/>
            <w:tcMar>
              <w:top w:w="80" w:type="dxa"/>
              <w:bottom w:w="80" w:type="dxa"/>
              <w:left w:w="120" w:type="dxa"/>
              <w:right w:w="120" w:type="dxa"/>
            </w:tcMar>
          </w:tcPr>
          <w:p>
            <w:r>
              <w:rPr>
                <w:color w:val="2C3E50"/>
                <w:sz w:val="18"/>
              </w:rPr>
              <w:t>Test statistical assumptions (normality, homoscedasticity, linearity).</w:t>
            </w:r>
          </w:p>
        </w:tc>
        <w:tc>
          <w:tcPr>
            <w:tcW w:type="dxa" w:w="3120"/>
            <w:shd w:fill="F8F9FA"/>
            <w:tcMar>
              <w:top w:w="80" w:type="dxa"/>
              <w:bottom w:w="80" w:type="dxa"/>
              <w:left w:w="120" w:type="dxa"/>
              <w:right w:w="120" w:type="dxa"/>
            </w:tcMar>
          </w:tcPr>
          <w:p>
            <w:r>
              <w:rPr>
                <w:color w:val="2C3E50"/>
                <w:sz w:val="18"/>
              </w:rPr>
              <w:t>Ensures correct model selection (Parametric vs. Non-Parametric).</w:t>
            </w:r>
          </w:p>
        </w:tc>
      </w:tr>
    </w:tbl>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36" w:space="0" w:color="1B365D"/>
              <w:bottom w:val="none"/>
              <w:right w:val="none"/>
            </w:tcBorders>
          </w:tcPr>
          <w:p>
            <w:pPr>
              <w:spacing w:before="40" w:after="80"/>
            </w:pPr>
            <w:r>
              <w:rPr>
                <w:b/>
                <w:color w:val="1B365D"/>
                <w:sz w:val="21"/>
              </w:rPr>
              <w:t>📌 CORE PRINCIPLES OF ROBUST EDA</w:t>
              <w:br/>
            </w:r>
          </w:p>
          <w:p>
            <w:pPr>
              <w:spacing w:before="40" w:after="40"/>
            </w:pPr>
            <w:r>
              <w:rPr>
                <w:color w:val="2C3E50"/>
                <w:sz w:val="19"/>
              </w:rPr>
              <w:t>• EDA is iterative, non-linear, and empirical: Findings in bivariate analysis often demand returning to data cleaning.</w:t>
            </w:r>
          </w:p>
          <w:p>
            <w:pPr>
              <w:spacing w:before="40" w:after="40"/>
            </w:pPr>
            <w:r>
              <w:rPr>
                <w:color w:val="2C3E50"/>
                <w:sz w:val="19"/>
              </w:rPr>
              <w:t>• Visual diagnostics must always be paired with quantitative summary statistics (e.g., skewness, p-values).</w:t>
            </w:r>
          </w:p>
          <w:p>
            <w:pPr>
              <w:spacing w:before="40" w:after="40"/>
            </w:pPr>
            <w:r>
              <w:rPr>
                <w:color w:val="2C3E50"/>
                <w:sz w:val="19"/>
              </w:rPr>
              <w:t>• A well-documented EDA serves as the technical single-source-of-truth for both engineers and business stakeholders.</w:t>
            </w:r>
          </w:p>
        </w:tc>
      </w:tr>
    </w:tbl>
    <w:p/>
    <w:p>
      <w:pPr>
        <w:pStyle w:val="Heading1"/>
        <w:spacing w:before="280" w:after="120"/>
      </w:pPr>
      <w:r>
        <w:rPr>
          <w:color w:val="1B365D"/>
        </w:rPr>
        <w:t>2. Data Taxonomy &amp; Type-Specific Exploration Strategies</w:t>
      </w:r>
    </w:p>
    <w:p>
      <w:pPr>
        <w:spacing w:after="160"/>
      </w:pPr>
      <w:r>
        <w:t>A universal EDA framework must establish a formal taxonomy of data types. Analytical methods, statistical tests, and chart types are strictly dictated by the mathematical properties of each variable category:</w:t>
      </w:r>
    </w:p>
    <w:tbl>
      <w:tblPr>
        <w:tblW w:type="auto" w:w="0"/>
        <w:jc w:val="center"/>
        <w:tblLook w:firstColumn="1" w:firstRow="1" w:lastColumn="0" w:lastRow="0" w:noHBand="0" w:noVBand="1" w:val="04A0"/>
      </w:tblPr>
      <w:tblGrid>
        <w:gridCol w:w="1872"/>
        <w:gridCol w:w="2160"/>
        <w:gridCol w:w="2592"/>
        <w:gridCol w:w="2736"/>
      </w:tblGrid>
      <w:tr>
        <w:tc>
          <w:tcPr>
            <w:tcW w:type="dxa" w:w="2340"/>
            <w:shd w:fill="1B365D"/>
            <w:tcMar>
              <w:top w:w="120" w:type="dxa"/>
              <w:bottom w:w="120" w:type="dxa"/>
              <w:left w:w="140" w:type="dxa"/>
              <w:right w:w="140" w:type="dxa"/>
            </w:tcMar>
          </w:tcPr>
          <w:p>
            <w:pPr>
              <w:jc w:val="left"/>
            </w:pPr>
            <w:r>
              <w:rPr>
                <w:b/>
                <w:color w:val="FFFFFF"/>
                <w:sz w:val="19"/>
              </w:rPr>
              <w:t>Data Type</w:t>
            </w:r>
          </w:p>
        </w:tc>
        <w:tc>
          <w:tcPr>
            <w:tcW w:type="dxa" w:w="2340"/>
            <w:shd w:fill="1B365D"/>
            <w:tcMar>
              <w:top w:w="120" w:type="dxa"/>
              <w:bottom w:w="120" w:type="dxa"/>
              <w:left w:w="140" w:type="dxa"/>
              <w:right w:w="140" w:type="dxa"/>
            </w:tcMar>
          </w:tcPr>
          <w:p>
            <w:pPr>
              <w:jc w:val="left"/>
            </w:pPr>
            <w:r>
              <w:rPr>
                <w:b/>
                <w:color w:val="FFFFFF"/>
                <w:sz w:val="19"/>
              </w:rPr>
              <w:t>Definition &amp; Properties</w:t>
            </w:r>
          </w:p>
        </w:tc>
        <w:tc>
          <w:tcPr>
            <w:tcW w:type="dxa" w:w="2340"/>
            <w:shd w:fill="1B365D"/>
            <w:tcMar>
              <w:top w:w="120" w:type="dxa"/>
              <w:bottom w:w="120" w:type="dxa"/>
              <w:left w:w="140" w:type="dxa"/>
              <w:right w:w="140" w:type="dxa"/>
            </w:tcMar>
          </w:tcPr>
          <w:p>
            <w:pPr>
              <w:jc w:val="left"/>
            </w:pPr>
            <w:r>
              <w:rPr>
                <w:b/>
                <w:color w:val="FFFFFF"/>
                <w:sz w:val="19"/>
              </w:rPr>
              <w:t>Mathematical Operations</w:t>
            </w:r>
          </w:p>
        </w:tc>
        <w:tc>
          <w:tcPr>
            <w:tcW w:type="dxa" w:w="2340"/>
            <w:shd w:fill="1B365D"/>
            <w:tcMar>
              <w:top w:w="120" w:type="dxa"/>
              <w:bottom w:w="120" w:type="dxa"/>
              <w:left w:w="140" w:type="dxa"/>
              <w:right w:w="140" w:type="dxa"/>
            </w:tcMar>
          </w:tcPr>
          <w:p>
            <w:pPr>
              <w:jc w:val="left"/>
            </w:pPr>
            <w:r>
              <w:rPr>
                <w:b/>
                <w:color w:val="FFFFFF"/>
                <w:sz w:val="19"/>
              </w:rPr>
              <w:t>Recommended Visualizations</w:t>
            </w:r>
          </w:p>
        </w:tc>
      </w:tr>
      <w:tr>
        <w:tc>
          <w:tcPr>
            <w:tcW w:type="dxa" w:w="2340"/>
            <w:shd w:fill="F8F9FA"/>
            <w:tcMar>
              <w:top w:w="80" w:type="dxa"/>
              <w:bottom w:w="80" w:type="dxa"/>
              <w:left w:w="120" w:type="dxa"/>
              <w:right w:w="120" w:type="dxa"/>
            </w:tcMar>
          </w:tcPr>
          <w:p>
            <w:r>
              <w:rPr>
                <w:color w:val="2C3E50"/>
                <w:sz w:val="18"/>
              </w:rPr>
              <w:t>Nominal (Categorical)</w:t>
            </w:r>
          </w:p>
        </w:tc>
        <w:tc>
          <w:tcPr>
            <w:tcW w:type="dxa" w:w="2340"/>
            <w:shd w:fill="F8F9FA"/>
            <w:tcMar>
              <w:top w:w="80" w:type="dxa"/>
              <w:bottom w:w="80" w:type="dxa"/>
              <w:left w:w="120" w:type="dxa"/>
              <w:right w:w="120" w:type="dxa"/>
            </w:tcMar>
          </w:tcPr>
          <w:p>
            <w:r>
              <w:rPr>
                <w:color w:val="2C3E50"/>
                <w:sz w:val="18"/>
              </w:rPr>
              <w:t>Unordered discrete classes (e.g., Gender, State, Device Type).</w:t>
            </w:r>
          </w:p>
        </w:tc>
        <w:tc>
          <w:tcPr>
            <w:tcW w:type="dxa" w:w="2340"/>
            <w:shd w:fill="F8F9FA"/>
            <w:tcMar>
              <w:top w:w="80" w:type="dxa"/>
              <w:bottom w:w="80" w:type="dxa"/>
              <w:left w:w="120" w:type="dxa"/>
              <w:right w:w="120" w:type="dxa"/>
            </w:tcMar>
          </w:tcPr>
          <w:p>
            <w:r>
              <w:rPr>
                <w:color w:val="2C3E50"/>
                <w:sz w:val="18"/>
              </w:rPr>
              <w:t>Equality (==, !=), Mode, Frequency Counts.</w:t>
            </w:r>
          </w:p>
        </w:tc>
        <w:tc>
          <w:tcPr>
            <w:tcW w:type="dxa" w:w="2340"/>
            <w:shd w:fill="F8F9FA"/>
            <w:tcMar>
              <w:top w:w="80" w:type="dxa"/>
              <w:bottom w:w="80" w:type="dxa"/>
              <w:left w:w="120" w:type="dxa"/>
              <w:right w:w="120" w:type="dxa"/>
            </w:tcMar>
          </w:tcPr>
          <w:p>
            <w:r>
              <w:rPr>
                <w:color w:val="2C3E50"/>
                <w:sz w:val="18"/>
              </w:rPr>
              <w:t>Bar charts, Donut charts, Count plots.</w:t>
            </w:r>
          </w:p>
        </w:tc>
      </w:tr>
      <w:tr>
        <w:tc>
          <w:tcPr>
            <w:tcW w:type="dxa" w:w="2340"/>
            <w:shd w:fill="FFFFFF"/>
            <w:tcMar>
              <w:top w:w="80" w:type="dxa"/>
              <w:bottom w:w="80" w:type="dxa"/>
              <w:left w:w="120" w:type="dxa"/>
              <w:right w:w="120" w:type="dxa"/>
            </w:tcMar>
          </w:tcPr>
          <w:p>
            <w:r>
              <w:rPr>
                <w:color w:val="2C3E50"/>
                <w:sz w:val="18"/>
              </w:rPr>
              <w:t>Ordinal (Categorical)</w:t>
            </w:r>
          </w:p>
        </w:tc>
        <w:tc>
          <w:tcPr>
            <w:tcW w:type="dxa" w:w="2340"/>
            <w:shd w:fill="FFFFFF"/>
            <w:tcMar>
              <w:top w:w="80" w:type="dxa"/>
              <w:bottom w:w="80" w:type="dxa"/>
              <w:left w:w="120" w:type="dxa"/>
              <w:right w:w="120" w:type="dxa"/>
            </w:tcMar>
          </w:tcPr>
          <w:p>
            <w:r>
              <w:rPr>
                <w:color w:val="2C3E50"/>
                <w:sz w:val="18"/>
              </w:rPr>
              <w:t>Ordered discrete categories with ranking (e.g., Education, Rating).</w:t>
            </w:r>
          </w:p>
        </w:tc>
        <w:tc>
          <w:tcPr>
            <w:tcW w:type="dxa" w:w="2340"/>
            <w:shd w:fill="FFFFFF"/>
            <w:tcMar>
              <w:top w:w="80" w:type="dxa"/>
              <w:bottom w:w="80" w:type="dxa"/>
              <w:left w:w="120" w:type="dxa"/>
              <w:right w:w="120" w:type="dxa"/>
            </w:tcMar>
          </w:tcPr>
          <w:p>
            <w:r>
              <w:rPr>
                <w:color w:val="2C3E50"/>
                <w:sz w:val="18"/>
              </w:rPr>
              <w:t>Comparison (&lt;, &gt;), Median, Percentiles, Rank correlation.</w:t>
            </w:r>
          </w:p>
        </w:tc>
        <w:tc>
          <w:tcPr>
            <w:tcW w:type="dxa" w:w="2340"/>
            <w:shd w:fill="FFFFFF"/>
            <w:tcMar>
              <w:top w:w="80" w:type="dxa"/>
              <w:bottom w:w="80" w:type="dxa"/>
              <w:left w:w="120" w:type="dxa"/>
              <w:right w:w="120" w:type="dxa"/>
            </w:tcMar>
          </w:tcPr>
          <w:p>
            <w:r>
              <w:rPr>
                <w:color w:val="2C3E50"/>
                <w:sz w:val="18"/>
              </w:rPr>
              <w:t>Ordered Bar charts, Spine plots, Heatmaps.</w:t>
            </w:r>
          </w:p>
        </w:tc>
      </w:tr>
      <w:tr>
        <w:tc>
          <w:tcPr>
            <w:tcW w:type="dxa" w:w="2340"/>
            <w:shd w:fill="F8F9FA"/>
            <w:tcMar>
              <w:top w:w="80" w:type="dxa"/>
              <w:bottom w:w="80" w:type="dxa"/>
              <w:left w:w="120" w:type="dxa"/>
              <w:right w:w="120" w:type="dxa"/>
            </w:tcMar>
          </w:tcPr>
          <w:p>
            <w:r>
              <w:rPr>
                <w:color w:val="2C3E50"/>
                <w:sz w:val="18"/>
              </w:rPr>
              <w:t>Discrete Numeric</w:t>
            </w:r>
          </w:p>
        </w:tc>
        <w:tc>
          <w:tcPr>
            <w:tcW w:type="dxa" w:w="2340"/>
            <w:shd w:fill="F8F9FA"/>
            <w:tcMar>
              <w:top w:w="80" w:type="dxa"/>
              <w:bottom w:w="80" w:type="dxa"/>
              <w:left w:w="120" w:type="dxa"/>
              <w:right w:w="120" w:type="dxa"/>
            </w:tcMar>
          </w:tcPr>
          <w:p>
            <w:r>
              <w:rPr>
                <w:color w:val="2C3E50"/>
                <w:sz w:val="18"/>
              </w:rPr>
              <w:t>Countable integer quantities (e.g., Number of Dependents, Visits).</w:t>
            </w:r>
          </w:p>
        </w:tc>
        <w:tc>
          <w:tcPr>
            <w:tcW w:type="dxa" w:w="2340"/>
            <w:shd w:fill="F8F9FA"/>
            <w:tcMar>
              <w:top w:w="80" w:type="dxa"/>
              <w:bottom w:w="80" w:type="dxa"/>
              <w:left w:w="120" w:type="dxa"/>
              <w:right w:w="120" w:type="dxa"/>
            </w:tcMar>
          </w:tcPr>
          <w:p>
            <w:r>
              <w:rPr>
                <w:color w:val="2C3E50"/>
                <w:sz w:val="18"/>
              </w:rPr>
              <w:t>Mean, Median, Standard Deviation, Poisson modeling.</w:t>
            </w:r>
          </w:p>
        </w:tc>
        <w:tc>
          <w:tcPr>
            <w:tcW w:type="dxa" w:w="2340"/>
            <w:shd w:fill="F8F9FA"/>
            <w:tcMar>
              <w:top w:w="80" w:type="dxa"/>
              <w:bottom w:w="80" w:type="dxa"/>
              <w:left w:w="120" w:type="dxa"/>
              <w:right w:w="120" w:type="dxa"/>
            </w:tcMar>
          </w:tcPr>
          <w:p>
            <w:r>
              <w:rPr>
                <w:color w:val="2C3E50"/>
                <w:sz w:val="18"/>
              </w:rPr>
              <w:t>Step Histograms, Count plots, Stem-and-leaf.</w:t>
            </w:r>
          </w:p>
        </w:tc>
      </w:tr>
      <w:tr>
        <w:tc>
          <w:tcPr>
            <w:tcW w:type="dxa" w:w="2340"/>
            <w:shd w:fill="FFFFFF"/>
            <w:tcMar>
              <w:top w:w="80" w:type="dxa"/>
              <w:bottom w:w="80" w:type="dxa"/>
              <w:left w:w="120" w:type="dxa"/>
              <w:right w:w="120" w:type="dxa"/>
            </w:tcMar>
          </w:tcPr>
          <w:p>
            <w:r>
              <w:rPr>
                <w:color w:val="2C3E50"/>
                <w:sz w:val="18"/>
              </w:rPr>
              <w:t>Continuous Numeric</w:t>
            </w:r>
          </w:p>
        </w:tc>
        <w:tc>
          <w:tcPr>
            <w:tcW w:type="dxa" w:w="2340"/>
            <w:shd w:fill="FFFFFF"/>
            <w:tcMar>
              <w:top w:w="80" w:type="dxa"/>
              <w:bottom w:w="80" w:type="dxa"/>
              <w:left w:w="120" w:type="dxa"/>
              <w:right w:w="120" w:type="dxa"/>
            </w:tcMar>
          </w:tcPr>
          <w:p>
            <w:r>
              <w:rPr>
                <w:color w:val="2C3E50"/>
                <w:sz w:val="18"/>
              </w:rPr>
              <w:t>Unbroken scale of measurements (e.g., Revenue, Tenure, Speed).</w:t>
            </w:r>
          </w:p>
        </w:tc>
        <w:tc>
          <w:tcPr>
            <w:tcW w:type="dxa" w:w="2340"/>
            <w:shd w:fill="FFFFFF"/>
            <w:tcMar>
              <w:top w:w="80" w:type="dxa"/>
              <w:bottom w:w="80" w:type="dxa"/>
              <w:left w:w="120" w:type="dxa"/>
              <w:right w:w="120" w:type="dxa"/>
            </w:tcMar>
          </w:tcPr>
          <w:p>
            <w:r>
              <w:rPr>
                <w:color w:val="2C3E50"/>
                <w:sz w:val="18"/>
              </w:rPr>
              <w:t>Full arithmetic, Variance, Kurtosis, Calculus transformations.</w:t>
            </w:r>
          </w:p>
        </w:tc>
        <w:tc>
          <w:tcPr>
            <w:tcW w:type="dxa" w:w="2340"/>
            <w:shd w:fill="FFFFFF"/>
            <w:tcMar>
              <w:top w:w="80" w:type="dxa"/>
              <w:bottom w:w="80" w:type="dxa"/>
              <w:left w:w="120" w:type="dxa"/>
              <w:right w:w="120" w:type="dxa"/>
            </w:tcMar>
          </w:tcPr>
          <w:p>
            <w:r>
              <w:rPr>
                <w:color w:val="2C3E50"/>
                <w:sz w:val="18"/>
              </w:rPr>
              <w:t>Histograms + KDE, Box plots, ECDF, Violin plots.</w:t>
            </w:r>
          </w:p>
        </w:tc>
      </w:tr>
      <w:tr>
        <w:tc>
          <w:tcPr>
            <w:tcW w:type="dxa" w:w="2340"/>
            <w:shd w:fill="F8F9FA"/>
            <w:tcMar>
              <w:top w:w="80" w:type="dxa"/>
              <w:bottom w:w="80" w:type="dxa"/>
              <w:left w:w="120" w:type="dxa"/>
              <w:right w:w="120" w:type="dxa"/>
            </w:tcMar>
          </w:tcPr>
          <w:p>
            <w:r>
              <w:rPr>
                <w:color w:val="2C3E50"/>
                <w:sz w:val="18"/>
              </w:rPr>
              <w:t>Temporal / Datetime</w:t>
            </w:r>
          </w:p>
        </w:tc>
        <w:tc>
          <w:tcPr>
            <w:tcW w:type="dxa" w:w="2340"/>
            <w:shd w:fill="F8F9FA"/>
            <w:tcMar>
              <w:top w:w="80" w:type="dxa"/>
              <w:bottom w:w="80" w:type="dxa"/>
              <w:left w:w="120" w:type="dxa"/>
              <w:right w:w="120" w:type="dxa"/>
            </w:tcMar>
          </w:tcPr>
          <w:p>
            <w:r>
              <w:rPr>
                <w:color w:val="2C3E50"/>
                <w:sz w:val="18"/>
              </w:rPr>
              <w:t>Time-series timestamps, cycles (e.g., Transaction Date, Hour).</w:t>
            </w:r>
          </w:p>
        </w:tc>
        <w:tc>
          <w:tcPr>
            <w:tcW w:type="dxa" w:w="2340"/>
            <w:shd w:fill="F8F9FA"/>
            <w:tcMar>
              <w:top w:w="80" w:type="dxa"/>
              <w:bottom w:w="80" w:type="dxa"/>
              <w:left w:w="120" w:type="dxa"/>
              <w:right w:w="120" w:type="dxa"/>
            </w:tcMar>
          </w:tcPr>
          <w:p>
            <w:r>
              <w:rPr>
                <w:color w:val="2C3E50"/>
                <w:sz w:val="18"/>
              </w:rPr>
              <w:t>Lags, Differences, Seasonality decomposition, Fourier.</w:t>
            </w:r>
          </w:p>
        </w:tc>
        <w:tc>
          <w:tcPr>
            <w:tcW w:type="dxa" w:w="2340"/>
            <w:shd w:fill="F8F9FA"/>
            <w:tcMar>
              <w:top w:w="80" w:type="dxa"/>
              <w:bottom w:w="80" w:type="dxa"/>
              <w:left w:w="120" w:type="dxa"/>
              <w:right w:w="120" w:type="dxa"/>
            </w:tcMar>
          </w:tcPr>
          <w:p>
            <w:r>
              <w:rPr>
                <w:color w:val="2C3E50"/>
                <w:sz w:val="18"/>
              </w:rPr>
              <w:t>Line charts, Horizon plots, Calendar heatmaps.</w:t>
            </w:r>
          </w:p>
        </w:tc>
      </w:tr>
    </w:tbl>
    <w:p/>
    <w:p>
      <w:pPr>
        <w:pStyle w:val="Heading1"/>
        <w:spacing w:before="280" w:after="120"/>
      </w:pPr>
      <w:r>
        <w:rPr>
          <w:color w:val="1B365D"/>
        </w:rPr>
        <w:t>3. Data Quality, Missing Value Diagnostics &amp; Outlier Detection</w:t>
      </w:r>
    </w:p>
    <w:p>
      <w:r>
        <w:t>Data hygiene determines the integrity of all downstream conclusions. Real-world enterprise datasets invariably contain missing values, data entry anomalies, corrupted formats, and extreme outliers.</w:t>
      </w:r>
    </w:p>
    <w:p>
      <w:pPr>
        <w:pStyle w:val="Heading2"/>
      </w:pPr>
      <w:r>
        <w:rPr>
          <w:color w:val="4B6B94"/>
        </w:rPr>
        <w:t>3.1 Theoretical Taxonomy of Missing Data Mechanisms</w:t>
      </w:r>
    </w:p>
    <w:p>
      <w:pPr>
        <w:spacing w:after="160"/>
      </w:pPr>
      <w:r>
        <w:t>1. Missing Completely at Random (MCAR): The probability of missingness is completely independent of both observed and unobserved variables. (e.g., dropped network packet). Safe for listwise deletion or simple mean/median imputation.</w:t>
        <w:br/>
        <w:t>2. Missing at Random (MAR): The probability of missingness depends systematically on observed data, but not on the missing value itself. Requires conditional imputation (KNN, MICE, IterativeImputer).</w:t>
        <w:br/>
        <w:t>3. Missing Not at Random (MNAR): Missingness depends directly on the unobserved value itself. Requires missingness indicator flags.</w:t>
      </w:r>
    </w:p>
    <w:p>
      <w:pPr>
        <w:pStyle w:val="Heading2"/>
      </w:pPr>
      <w:r>
        <w:rPr>
          <w:color w:val="4B6B94"/>
        </w:rPr>
        <w:t>3.2 Outlier Detection Methodologies</w:t>
      </w:r>
    </w:p>
    <w:tbl>
      <w:tblPr>
        <w:tblW w:type="auto" w:w="0"/>
        <w:jc w:val="center"/>
        <w:tblLook w:firstColumn="1" w:firstRow="1" w:lastColumn="0" w:lastRow="0" w:noHBand="0" w:noVBand="1" w:val="04A0"/>
      </w:tblPr>
      <w:tblGrid>
        <w:gridCol w:w="9360"/>
      </w:tblGrid>
      <w:tr>
        <w:tc>
          <w:tcPr>
            <w:tcW w:type="dxa" w:w="9360"/>
            <w:shd w:fill="282C34"/>
            <w:tcMar>
              <w:top w:w="120" w:type="dxa"/>
              <w:bottom w:w="120" w:type="dxa"/>
              <w:left w:w="180" w:type="dxa"/>
              <w:right w:w="180" w:type="dxa"/>
            </w:tcMar>
          </w:tcPr>
          <w:p>
            <w:pPr>
              <w:spacing w:before="40" w:after="40"/>
            </w:pPr>
            <w:r>
              <w:rPr>
                <w:rFonts w:ascii="Consolas" w:hAnsi="Consolas"/>
                <w:color w:val="98C379"/>
                <w:sz w:val="17"/>
              </w:rPr>
              <w:t># [Python - Outlier Detection Protocols Implementation]</w:t>
              <w:br/>
            </w:r>
            <w:r>
              <w:rPr>
                <w:rFonts w:ascii="Consolas" w:hAnsi="Consolas"/>
                <w:color w:val="ABB2BF"/>
                <w:sz w:val="17"/>
              </w:rPr>
              <w:t># 1. Tukey's Interquartile Range (IQR) Rule</w:t>
              <w:br/>
              <w:t>Q1 = df['feature'].quantile(0.25)</w:t>
              <w:br/>
              <w:t>Q3 = df['feature'].quantile(0.75)</w:t>
              <w:br/>
              <w:t>IQR = Q3 - Q1</w:t>
              <w:br/>
              <w:t>lower_bound = Q1 - 1.5 * IQR</w:t>
              <w:br/>
              <w:t>upper_bound = Q3 + 1.5 * IQR</w:t>
              <w:br/>
              <w:t>outliers_iqr = df[(df['feature'] &lt; lower_bound) | (df['feature'] &gt; upper_bound)]</w:t>
              <w:br/>
              <w:br/>
              <w:t># 2. Standardized Z-Score Method (Parametric / Gaussian)</w:t>
              <w:br/>
              <w:t>z_scores = np.abs((df['feature'] - df['feature'].mean()) / df['feature'].std())</w:t>
              <w:br/>
              <w:t>outliers_z = df[z_scores &gt; 3.0]</w:t>
              <w:br/>
              <w:br/>
              <w:t># 3. Machine Learning Isolation Forest (Multivariate Non-Parametric)</w:t>
              <w:br/>
              <w:t>from sklearn.ensemble import IsolationForest</w:t>
              <w:br/>
              <w:t>iso = IsolationForest(contamination=0.02, random_state=42)</w:t>
              <w:br/>
              <w:t>df['anomaly_flag'] = iso.fit_predict(df[numeric_cols]) # -1 = Outlier</w:t>
            </w:r>
          </w:p>
        </w:tc>
      </w:tr>
    </w:tbl>
    <w:p/>
    <w:p>
      <w:pPr>
        <w:pStyle w:val="Heading1"/>
        <w:spacing w:before="280" w:after="120"/>
      </w:pPr>
      <w:r>
        <w:rPr>
          <w:color w:val="1B365D"/>
        </w:rPr>
        <w:t>4. The Multi-Tier Systematic Analysis Framework</w:t>
      </w:r>
    </w:p>
    <w:p>
      <w:pPr>
        <w:pStyle w:val="Heading2"/>
      </w:pPr>
      <w:r>
        <w:rPr>
          <w:color w:val="4B6B94"/>
        </w:rPr>
        <w:t>4.1 Tier 1: Univariate Analysis (Single Variable Profiling)</w:t>
      </w:r>
    </w:p>
    <w:p>
      <w:r>
        <w:t>Examines variables in isolation. For continuous variables, metrics include Mean, Median, Variance, Skewness (measure of asymmetry: Skew &gt; 1 indicates right-tail skew), and Kurtosis (measure of heavy tails). For categorical variables, assess frequency counts, relative proportions, and cardinality.</w:t>
      </w:r>
    </w:p>
    <w:p>
      <w:pPr>
        <w:pStyle w:val="Heading2"/>
      </w:pPr>
      <w:r>
        <w:rPr>
          <w:color w:val="4B6B94"/>
        </w:rPr>
        <w:t>4.2 Tier 2: Bivariate Analysis (Pairwise Relationships)</w:t>
      </w:r>
    </w:p>
    <w:p>
      <w:r>
        <w:t>Explores interactions between pairs of variables:</w:t>
        <w:br/>
        <w:t>• Continuous vs. Continuous: Pearson Correlation, Spearman Rank Correlation, Scatter plots with regression trendlines.</w:t>
        <w:br/>
        <w:t>• Categorical vs. Continuous: Grouped Box/Violin plots, Independent Welch's t-test (2 groups), One-Way ANOVA / Kruskal-Wallis (&gt;2 groups).</w:t>
        <w:br/>
        <w:t>• Categorical vs. Categorical: Cross-tabulations, Stacked Percentage Bar charts, Pearson's Chi-Square Test (χ²), and Cramer's V.</w:t>
      </w:r>
    </w:p>
    <w:p>
      <w:pPr>
        <w:pStyle w:val="Heading2"/>
      </w:pPr>
      <w:r>
        <w:rPr>
          <w:color w:val="4B6B94"/>
        </w:rPr>
        <w:t>4.3 Tier 3: Multivariate Analysis &amp; Interaction Dynamics</w:t>
      </w:r>
    </w:p>
    <w:p>
      <w:r>
        <w:t>Investigates simultaneous interactions across three or more features:</w:t>
        <w:br/>
        <w:t>• Correlation Heatmaps: Masked lower-triangle heatmaps to detect multicollinearity (VIF &gt; 5.0 indicates redundant features).</w:t>
        <w:br/>
        <w:t>• Faceted Multi-Condition Scatter Plots: Plotting X vs. Y with Hue (color), Size, and Style encodings.</w:t>
        <w:br/>
        <w:t>• Dimensionality Reduction Projections: Principal Component Analysis (PCA) or t-SNE / UMAP for high-dimensional clustering.</w:t>
      </w:r>
    </w:p>
    <w:p>
      <w:pPr>
        <w:pStyle w:val="Heading1"/>
        <w:spacing w:before="280" w:after="120"/>
      </w:pPr>
      <w:r>
        <w:rPr>
          <w:color w:val="1B365D"/>
        </w:rPr>
        <w:t>5. Visualization Taxonomy &amp; Plot Selection Decision Matrix</w:t>
      </w:r>
    </w:p>
    <w:tbl>
      <w:tblPr>
        <w:tblW w:type="auto" w:w="0"/>
        <w:jc w:val="center"/>
        <w:tblLook w:firstColumn="1" w:firstRow="1" w:lastColumn="0" w:lastRow="0" w:noHBand="0" w:noVBand="1" w:val="04A0"/>
      </w:tblPr>
      <w:tblGrid>
        <w:gridCol w:w="1872"/>
        <w:gridCol w:w="2016"/>
        <w:gridCol w:w="2592"/>
        <w:gridCol w:w="2880"/>
      </w:tblGrid>
      <w:tr>
        <w:tc>
          <w:tcPr>
            <w:tcW w:type="dxa" w:w="2340"/>
            <w:shd w:fill="1B365D"/>
            <w:tcMar>
              <w:top w:w="120" w:type="dxa"/>
              <w:bottom w:w="120" w:type="dxa"/>
              <w:left w:w="140" w:type="dxa"/>
              <w:right w:w="140" w:type="dxa"/>
            </w:tcMar>
          </w:tcPr>
          <w:p>
            <w:pPr>
              <w:jc w:val="left"/>
            </w:pPr>
            <w:r>
              <w:rPr>
                <w:b/>
                <w:color w:val="FFFFFF"/>
                <w:sz w:val="19"/>
              </w:rPr>
              <w:t>Analytical Goal</w:t>
            </w:r>
          </w:p>
        </w:tc>
        <w:tc>
          <w:tcPr>
            <w:tcW w:type="dxa" w:w="2340"/>
            <w:shd w:fill="1B365D"/>
            <w:tcMar>
              <w:top w:w="120" w:type="dxa"/>
              <w:bottom w:w="120" w:type="dxa"/>
              <w:left w:w="140" w:type="dxa"/>
              <w:right w:w="140" w:type="dxa"/>
            </w:tcMar>
          </w:tcPr>
          <w:p>
            <w:pPr>
              <w:jc w:val="left"/>
            </w:pPr>
            <w:r>
              <w:rPr>
                <w:b/>
                <w:color w:val="FFFFFF"/>
                <w:sz w:val="19"/>
              </w:rPr>
              <w:t>Variable Configuration</w:t>
            </w:r>
          </w:p>
        </w:tc>
        <w:tc>
          <w:tcPr>
            <w:tcW w:type="dxa" w:w="2340"/>
            <w:shd w:fill="1B365D"/>
            <w:tcMar>
              <w:top w:w="120" w:type="dxa"/>
              <w:bottom w:w="120" w:type="dxa"/>
              <w:left w:w="140" w:type="dxa"/>
              <w:right w:w="140" w:type="dxa"/>
            </w:tcMar>
          </w:tcPr>
          <w:p>
            <w:pPr>
              <w:jc w:val="left"/>
            </w:pPr>
            <w:r>
              <w:rPr>
                <w:b/>
                <w:color w:val="FFFFFF"/>
                <w:sz w:val="19"/>
              </w:rPr>
              <w:t>Recommended Visual Chart</w:t>
            </w:r>
          </w:p>
        </w:tc>
        <w:tc>
          <w:tcPr>
            <w:tcW w:type="dxa" w:w="2340"/>
            <w:shd w:fill="1B365D"/>
            <w:tcMar>
              <w:top w:w="120" w:type="dxa"/>
              <w:bottom w:w="120" w:type="dxa"/>
              <w:left w:w="140" w:type="dxa"/>
              <w:right w:w="140" w:type="dxa"/>
            </w:tcMar>
          </w:tcPr>
          <w:p>
            <w:pPr>
              <w:jc w:val="left"/>
            </w:pPr>
            <w:r>
              <w:rPr>
                <w:b/>
                <w:color w:val="FFFFFF"/>
                <w:sz w:val="19"/>
              </w:rPr>
              <w:t>Best Practice &amp; Insight Generated</w:t>
            </w:r>
          </w:p>
        </w:tc>
      </w:tr>
      <w:tr>
        <w:tc>
          <w:tcPr>
            <w:tcW w:type="dxa" w:w="2340"/>
            <w:shd w:fill="F8F9FA"/>
            <w:tcMar>
              <w:top w:w="80" w:type="dxa"/>
              <w:bottom w:w="80" w:type="dxa"/>
              <w:left w:w="120" w:type="dxa"/>
              <w:right w:w="120" w:type="dxa"/>
            </w:tcMar>
          </w:tcPr>
          <w:p>
            <w:r>
              <w:rPr>
                <w:color w:val="2C3E50"/>
                <w:sz w:val="18"/>
              </w:rPr>
              <w:t>Distribution Shape</w:t>
            </w:r>
          </w:p>
        </w:tc>
        <w:tc>
          <w:tcPr>
            <w:tcW w:type="dxa" w:w="2340"/>
            <w:shd w:fill="F8F9FA"/>
            <w:tcMar>
              <w:top w:w="80" w:type="dxa"/>
              <w:bottom w:w="80" w:type="dxa"/>
              <w:left w:w="120" w:type="dxa"/>
              <w:right w:w="120" w:type="dxa"/>
            </w:tcMar>
          </w:tcPr>
          <w:p>
            <w:r>
              <w:rPr>
                <w:color w:val="2C3E50"/>
                <w:sz w:val="18"/>
              </w:rPr>
              <w:t>1 Continuous</w:t>
            </w:r>
          </w:p>
        </w:tc>
        <w:tc>
          <w:tcPr>
            <w:tcW w:type="dxa" w:w="2340"/>
            <w:shd w:fill="F8F9FA"/>
            <w:tcMar>
              <w:top w:w="80" w:type="dxa"/>
              <w:bottom w:w="80" w:type="dxa"/>
              <w:left w:w="120" w:type="dxa"/>
              <w:right w:w="120" w:type="dxa"/>
            </w:tcMar>
          </w:tcPr>
          <w:p>
            <w:r>
              <w:rPr>
                <w:color w:val="2C3E50"/>
                <w:sz w:val="18"/>
              </w:rPr>
              <w:t>Histogram + KDE Overlay</w:t>
            </w:r>
          </w:p>
        </w:tc>
        <w:tc>
          <w:tcPr>
            <w:tcW w:type="dxa" w:w="2340"/>
            <w:shd w:fill="F8F9FA"/>
            <w:tcMar>
              <w:top w:w="80" w:type="dxa"/>
              <w:bottom w:w="80" w:type="dxa"/>
              <w:left w:w="120" w:type="dxa"/>
              <w:right w:w="120" w:type="dxa"/>
            </w:tcMar>
          </w:tcPr>
          <w:p>
            <w:r>
              <w:rPr>
                <w:color w:val="2C3E50"/>
                <w:sz w:val="18"/>
              </w:rPr>
              <w:t>Set appropriate bin widths; overlay mean/median reference lines.</w:t>
            </w:r>
          </w:p>
        </w:tc>
      </w:tr>
      <w:tr>
        <w:tc>
          <w:tcPr>
            <w:tcW w:type="dxa" w:w="2340"/>
            <w:shd w:fill="FFFFFF"/>
            <w:tcMar>
              <w:top w:w="80" w:type="dxa"/>
              <w:bottom w:w="80" w:type="dxa"/>
              <w:left w:w="120" w:type="dxa"/>
              <w:right w:w="120" w:type="dxa"/>
            </w:tcMar>
          </w:tcPr>
          <w:p>
            <w:r>
              <w:rPr>
                <w:color w:val="2C3E50"/>
                <w:sz w:val="18"/>
              </w:rPr>
              <w:t>Spread &amp; Outliers</w:t>
            </w:r>
          </w:p>
        </w:tc>
        <w:tc>
          <w:tcPr>
            <w:tcW w:type="dxa" w:w="2340"/>
            <w:shd w:fill="FFFFFF"/>
            <w:tcMar>
              <w:top w:w="80" w:type="dxa"/>
              <w:bottom w:w="80" w:type="dxa"/>
              <w:left w:w="120" w:type="dxa"/>
              <w:right w:w="120" w:type="dxa"/>
            </w:tcMar>
          </w:tcPr>
          <w:p>
            <w:r>
              <w:rPr>
                <w:color w:val="2C3E50"/>
                <w:sz w:val="18"/>
              </w:rPr>
              <w:t>1 Continuous</w:t>
            </w:r>
          </w:p>
        </w:tc>
        <w:tc>
          <w:tcPr>
            <w:tcW w:type="dxa" w:w="2340"/>
            <w:shd w:fill="FFFFFF"/>
            <w:tcMar>
              <w:top w:w="80" w:type="dxa"/>
              <w:bottom w:w="80" w:type="dxa"/>
              <w:left w:w="120" w:type="dxa"/>
              <w:right w:w="120" w:type="dxa"/>
            </w:tcMar>
          </w:tcPr>
          <w:p>
            <w:r>
              <w:rPr>
                <w:color w:val="2C3E50"/>
                <w:sz w:val="18"/>
              </w:rPr>
              <w:t>Box Plot / Violin Plot</w:t>
            </w:r>
          </w:p>
        </w:tc>
        <w:tc>
          <w:tcPr>
            <w:tcW w:type="dxa" w:w="2340"/>
            <w:shd w:fill="FFFFFF"/>
            <w:tcMar>
              <w:top w:w="80" w:type="dxa"/>
              <w:bottom w:w="80" w:type="dxa"/>
              <w:left w:w="120" w:type="dxa"/>
              <w:right w:w="120" w:type="dxa"/>
            </w:tcMar>
          </w:tcPr>
          <w:p>
            <w:r>
              <w:rPr>
                <w:color w:val="2C3E50"/>
                <w:sz w:val="18"/>
              </w:rPr>
              <w:t>Visualizes IQR, 1.5x whisker boundaries, and distribution density.</w:t>
            </w:r>
          </w:p>
        </w:tc>
      </w:tr>
      <w:tr>
        <w:tc>
          <w:tcPr>
            <w:tcW w:type="dxa" w:w="2340"/>
            <w:shd w:fill="F8F9FA"/>
            <w:tcMar>
              <w:top w:w="80" w:type="dxa"/>
              <w:bottom w:w="80" w:type="dxa"/>
              <w:left w:w="120" w:type="dxa"/>
              <w:right w:w="120" w:type="dxa"/>
            </w:tcMar>
          </w:tcPr>
          <w:p>
            <w:r>
              <w:rPr>
                <w:color w:val="2C3E50"/>
                <w:sz w:val="18"/>
              </w:rPr>
              <w:t>Category Frequency</w:t>
            </w:r>
          </w:p>
        </w:tc>
        <w:tc>
          <w:tcPr>
            <w:tcW w:type="dxa" w:w="2340"/>
            <w:shd w:fill="F8F9FA"/>
            <w:tcMar>
              <w:top w:w="80" w:type="dxa"/>
              <w:bottom w:w="80" w:type="dxa"/>
              <w:left w:w="120" w:type="dxa"/>
              <w:right w:w="120" w:type="dxa"/>
            </w:tcMar>
          </w:tcPr>
          <w:p>
            <w:r>
              <w:rPr>
                <w:color w:val="2C3E50"/>
                <w:sz w:val="18"/>
              </w:rPr>
              <w:t>1 Categorical</w:t>
            </w:r>
          </w:p>
        </w:tc>
        <w:tc>
          <w:tcPr>
            <w:tcW w:type="dxa" w:w="2340"/>
            <w:shd w:fill="F8F9FA"/>
            <w:tcMar>
              <w:top w:w="80" w:type="dxa"/>
              <w:bottom w:w="80" w:type="dxa"/>
              <w:left w:w="120" w:type="dxa"/>
              <w:right w:w="120" w:type="dxa"/>
            </w:tcMar>
          </w:tcPr>
          <w:p>
            <w:r>
              <w:rPr>
                <w:color w:val="2C3E50"/>
                <w:sz w:val="18"/>
              </w:rPr>
              <w:t>Horizontal / Vertical Bar Chart</w:t>
            </w:r>
          </w:p>
        </w:tc>
        <w:tc>
          <w:tcPr>
            <w:tcW w:type="dxa" w:w="2340"/>
            <w:shd w:fill="F8F9FA"/>
            <w:tcMar>
              <w:top w:w="80" w:type="dxa"/>
              <w:bottom w:w="80" w:type="dxa"/>
              <w:left w:w="120" w:type="dxa"/>
              <w:right w:w="120" w:type="dxa"/>
            </w:tcMar>
          </w:tcPr>
          <w:p>
            <w:r>
              <w:rPr>
                <w:color w:val="2C3E50"/>
                <w:sz w:val="18"/>
              </w:rPr>
              <w:t>Sort bars by descending frequency; annotate exact % labels.</w:t>
            </w:r>
          </w:p>
        </w:tc>
      </w:tr>
      <w:tr>
        <w:tc>
          <w:tcPr>
            <w:tcW w:type="dxa" w:w="2340"/>
            <w:shd w:fill="FFFFFF"/>
            <w:tcMar>
              <w:top w:w="80" w:type="dxa"/>
              <w:bottom w:w="80" w:type="dxa"/>
              <w:left w:w="120" w:type="dxa"/>
              <w:right w:w="120" w:type="dxa"/>
            </w:tcMar>
          </w:tcPr>
          <w:p>
            <w:r>
              <w:rPr>
                <w:color w:val="2C3E50"/>
                <w:sz w:val="18"/>
              </w:rPr>
              <w:t>Continuous Association</w:t>
            </w:r>
          </w:p>
        </w:tc>
        <w:tc>
          <w:tcPr>
            <w:tcW w:type="dxa" w:w="2340"/>
            <w:shd w:fill="FFFFFF"/>
            <w:tcMar>
              <w:top w:w="80" w:type="dxa"/>
              <w:bottom w:w="80" w:type="dxa"/>
              <w:left w:w="120" w:type="dxa"/>
              <w:right w:w="120" w:type="dxa"/>
            </w:tcMar>
          </w:tcPr>
          <w:p>
            <w:r>
              <w:rPr>
                <w:color w:val="2C3E50"/>
                <w:sz w:val="18"/>
              </w:rPr>
              <w:t>2 Continuous</w:t>
            </w:r>
          </w:p>
        </w:tc>
        <w:tc>
          <w:tcPr>
            <w:tcW w:type="dxa" w:w="2340"/>
            <w:shd w:fill="FFFFFF"/>
            <w:tcMar>
              <w:top w:w="80" w:type="dxa"/>
              <w:bottom w:w="80" w:type="dxa"/>
              <w:left w:w="120" w:type="dxa"/>
              <w:right w:w="120" w:type="dxa"/>
            </w:tcMar>
          </w:tcPr>
          <w:p>
            <w:r>
              <w:rPr>
                <w:color w:val="2C3E50"/>
                <w:sz w:val="18"/>
              </w:rPr>
              <w:t>Scatter Plot + Lowess Trend</w:t>
            </w:r>
          </w:p>
        </w:tc>
        <w:tc>
          <w:tcPr>
            <w:tcW w:type="dxa" w:w="2340"/>
            <w:shd w:fill="FFFFFF"/>
            <w:tcMar>
              <w:top w:w="80" w:type="dxa"/>
              <w:bottom w:w="80" w:type="dxa"/>
              <w:left w:w="120" w:type="dxa"/>
              <w:right w:w="120" w:type="dxa"/>
            </w:tcMar>
          </w:tcPr>
          <w:p>
            <w:r>
              <w:rPr>
                <w:color w:val="2C3E50"/>
                <w:sz w:val="18"/>
              </w:rPr>
              <w:t>Identifies linear/non-linear correlation, clustering, and heteroscedasticity.</w:t>
            </w:r>
          </w:p>
        </w:tc>
      </w:tr>
      <w:tr>
        <w:tc>
          <w:tcPr>
            <w:tcW w:type="dxa" w:w="2340"/>
            <w:shd w:fill="F8F9FA"/>
            <w:tcMar>
              <w:top w:w="80" w:type="dxa"/>
              <w:bottom w:w="80" w:type="dxa"/>
              <w:left w:w="120" w:type="dxa"/>
              <w:right w:w="120" w:type="dxa"/>
            </w:tcMar>
          </w:tcPr>
          <w:p>
            <w:r>
              <w:rPr>
                <w:color w:val="2C3E50"/>
                <w:sz w:val="18"/>
              </w:rPr>
              <w:t>Grouped Comparison</w:t>
            </w:r>
          </w:p>
        </w:tc>
        <w:tc>
          <w:tcPr>
            <w:tcW w:type="dxa" w:w="2340"/>
            <w:shd w:fill="F8F9FA"/>
            <w:tcMar>
              <w:top w:w="80" w:type="dxa"/>
              <w:bottom w:w="80" w:type="dxa"/>
              <w:left w:w="120" w:type="dxa"/>
              <w:right w:w="120" w:type="dxa"/>
            </w:tcMar>
          </w:tcPr>
          <w:p>
            <w:r>
              <w:rPr>
                <w:color w:val="2C3E50"/>
                <w:sz w:val="18"/>
              </w:rPr>
              <w:t>1 Cat + 1 Continuous</w:t>
            </w:r>
          </w:p>
        </w:tc>
        <w:tc>
          <w:tcPr>
            <w:tcW w:type="dxa" w:w="2340"/>
            <w:shd w:fill="F8F9FA"/>
            <w:tcMar>
              <w:top w:w="80" w:type="dxa"/>
              <w:bottom w:w="80" w:type="dxa"/>
              <w:left w:w="120" w:type="dxa"/>
              <w:right w:w="120" w:type="dxa"/>
            </w:tcMar>
          </w:tcPr>
          <w:p>
            <w:r>
              <w:rPr>
                <w:color w:val="2C3E50"/>
                <w:sz w:val="18"/>
              </w:rPr>
              <w:t>Split Violin / Box Plot</w:t>
            </w:r>
          </w:p>
        </w:tc>
        <w:tc>
          <w:tcPr>
            <w:tcW w:type="dxa" w:w="2340"/>
            <w:shd w:fill="F8F9FA"/>
            <w:tcMar>
              <w:top w:w="80" w:type="dxa"/>
              <w:bottom w:w="80" w:type="dxa"/>
              <w:left w:w="120" w:type="dxa"/>
              <w:right w:w="120" w:type="dxa"/>
            </w:tcMar>
          </w:tcPr>
          <w:p>
            <w:r>
              <w:rPr>
                <w:color w:val="2C3E50"/>
                <w:sz w:val="18"/>
              </w:rPr>
              <w:t>Compares median shift, spread, and tail shape across categories.</w:t>
            </w:r>
          </w:p>
        </w:tc>
      </w:tr>
      <w:tr>
        <w:tc>
          <w:tcPr>
            <w:tcW w:type="dxa" w:w="2340"/>
            <w:shd w:fill="FFFFFF"/>
            <w:tcMar>
              <w:top w:w="80" w:type="dxa"/>
              <w:bottom w:w="80" w:type="dxa"/>
              <w:left w:w="120" w:type="dxa"/>
              <w:right w:w="120" w:type="dxa"/>
            </w:tcMar>
          </w:tcPr>
          <w:p>
            <w:r>
              <w:rPr>
                <w:color w:val="2C3E50"/>
                <w:sz w:val="18"/>
              </w:rPr>
              <w:t>Categorical Interaction</w:t>
            </w:r>
          </w:p>
        </w:tc>
        <w:tc>
          <w:tcPr>
            <w:tcW w:type="dxa" w:w="2340"/>
            <w:shd w:fill="FFFFFF"/>
            <w:tcMar>
              <w:top w:w="80" w:type="dxa"/>
              <w:bottom w:w="80" w:type="dxa"/>
              <w:left w:w="120" w:type="dxa"/>
              <w:right w:w="120" w:type="dxa"/>
            </w:tcMar>
          </w:tcPr>
          <w:p>
            <w:r>
              <w:rPr>
                <w:color w:val="2C3E50"/>
                <w:sz w:val="18"/>
              </w:rPr>
              <w:t>2 Categorical</w:t>
            </w:r>
          </w:p>
        </w:tc>
        <w:tc>
          <w:tcPr>
            <w:tcW w:type="dxa" w:w="2340"/>
            <w:shd w:fill="FFFFFF"/>
            <w:tcMar>
              <w:top w:w="80" w:type="dxa"/>
              <w:bottom w:w="80" w:type="dxa"/>
              <w:left w:w="120" w:type="dxa"/>
              <w:right w:w="120" w:type="dxa"/>
            </w:tcMar>
          </w:tcPr>
          <w:p>
            <w:r>
              <w:rPr>
                <w:color w:val="2C3E50"/>
                <w:sz w:val="18"/>
              </w:rPr>
              <w:t>Stacked 100% Bar / Mosaic</w:t>
            </w:r>
          </w:p>
        </w:tc>
        <w:tc>
          <w:tcPr>
            <w:tcW w:type="dxa" w:w="2340"/>
            <w:shd w:fill="FFFFFF"/>
            <w:tcMar>
              <w:top w:w="80" w:type="dxa"/>
              <w:bottom w:w="80" w:type="dxa"/>
              <w:left w:w="120" w:type="dxa"/>
              <w:right w:w="120" w:type="dxa"/>
            </w:tcMar>
          </w:tcPr>
          <w:p>
            <w:r>
              <w:rPr>
                <w:color w:val="2C3E50"/>
                <w:sz w:val="18"/>
              </w:rPr>
              <w:t>Directly compares relative composition and contingent probabilities.</w:t>
            </w:r>
          </w:p>
        </w:tc>
      </w:tr>
      <w:tr>
        <w:tc>
          <w:tcPr>
            <w:tcW w:type="dxa" w:w="2340"/>
            <w:shd w:fill="F8F9FA"/>
            <w:tcMar>
              <w:top w:w="80" w:type="dxa"/>
              <w:bottom w:w="80" w:type="dxa"/>
              <w:left w:w="120" w:type="dxa"/>
              <w:right w:w="120" w:type="dxa"/>
            </w:tcMar>
          </w:tcPr>
          <w:p>
            <w:r>
              <w:rPr>
                <w:color w:val="2C3E50"/>
                <w:sz w:val="18"/>
              </w:rPr>
              <w:t>Multivariate Correlation</w:t>
            </w:r>
          </w:p>
        </w:tc>
        <w:tc>
          <w:tcPr>
            <w:tcW w:type="dxa" w:w="2340"/>
            <w:shd w:fill="F8F9FA"/>
            <w:tcMar>
              <w:top w:w="80" w:type="dxa"/>
              <w:bottom w:w="80" w:type="dxa"/>
              <w:left w:w="120" w:type="dxa"/>
              <w:right w:w="120" w:type="dxa"/>
            </w:tcMar>
          </w:tcPr>
          <w:p>
            <w:r>
              <w:rPr>
                <w:color w:val="2C3E50"/>
                <w:sz w:val="18"/>
              </w:rPr>
              <w:t>3+ Continuous</w:t>
            </w:r>
          </w:p>
        </w:tc>
        <w:tc>
          <w:tcPr>
            <w:tcW w:type="dxa" w:w="2340"/>
            <w:shd w:fill="F8F9FA"/>
            <w:tcMar>
              <w:top w:w="80" w:type="dxa"/>
              <w:bottom w:w="80" w:type="dxa"/>
              <w:left w:w="120" w:type="dxa"/>
              <w:right w:w="120" w:type="dxa"/>
            </w:tcMar>
          </w:tcPr>
          <w:p>
            <w:r>
              <w:rPr>
                <w:color w:val="2C3E50"/>
                <w:sz w:val="18"/>
              </w:rPr>
              <w:t>Masked Heatmap with Annotations</w:t>
            </w:r>
          </w:p>
        </w:tc>
        <w:tc>
          <w:tcPr>
            <w:tcW w:type="dxa" w:w="2340"/>
            <w:shd w:fill="F8F9FA"/>
            <w:tcMar>
              <w:top w:w="80" w:type="dxa"/>
              <w:bottom w:w="80" w:type="dxa"/>
              <w:left w:w="120" w:type="dxa"/>
              <w:right w:w="120" w:type="dxa"/>
            </w:tcMar>
          </w:tcPr>
          <w:p>
            <w:r>
              <w:rPr>
                <w:color w:val="2C3E50"/>
                <w:sz w:val="18"/>
              </w:rPr>
              <w:t>Use diverging colormaps (coolwarm) with values restricted to [-1, 1].</w:t>
            </w:r>
          </w:p>
        </w:tc>
      </w:tr>
    </w:tbl>
    <w:p/>
    <w:p>
      <w:pPr>
        <w:pStyle w:val="Heading1"/>
        <w:spacing w:before="280" w:after="120"/>
      </w:pPr>
      <w:r>
        <w:rPr>
          <w:color w:val="1B365D"/>
        </w:rPr>
        <w:t>6. Python Tooling &amp; Library Ecosystem Deep Dive</w:t>
      </w:r>
    </w:p>
    <w:tbl>
      <w:tblPr>
        <w:tblW w:type="auto" w:w="0"/>
        <w:jc w:val="center"/>
        <w:tblLook w:firstColumn="1" w:firstRow="1" w:lastColumn="0" w:lastRow="0" w:noHBand="0" w:noVBand="1" w:val="04A0"/>
      </w:tblPr>
      <w:tblGrid>
        <w:gridCol w:w="1872"/>
        <w:gridCol w:w="3312"/>
        <w:gridCol w:w="4176"/>
      </w:tblGrid>
      <w:tr>
        <w:tc>
          <w:tcPr>
            <w:tcW w:type="dxa" w:w="3120"/>
            <w:shd w:fill="1B365D"/>
            <w:tcMar>
              <w:top w:w="120" w:type="dxa"/>
              <w:bottom w:w="120" w:type="dxa"/>
              <w:left w:w="140" w:type="dxa"/>
              <w:right w:w="140" w:type="dxa"/>
            </w:tcMar>
          </w:tcPr>
          <w:p>
            <w:pPr>
              <w:jc w:val="left"/>
            </w:pPr>
            <w:r>
              <w:rPr>
                <w:b/>
                <w:color w:val="FFFFFF"/>
                <w:sz w:val="19"/>
              </w:rPr>
              <w:t>Library / Tool</w:t>
            </w:r>
          </w:p>
        </w:tc>
        <w:tc>
          <w:tcPr>
            <w:tcW w:type="dxa" w:w="3120"/>
            <w:shd w:fill="1B365D"/>
            <w:tcMar>
              <w:top w:w="120" w:type="dxa"/>
              <w:bottom w:w="120" w:type="dxa"/>
              <w:left w:w="140" w:type="dxa"/>
              <w:right w:w="140" w:type="dxa"/>
            </w:tcMar>
          </w:tcPr>
          <w:p>
            <w:pPr>
              <w:jc w:val="left"/>
            </w:pPr>
            <w:r>
              <w:rPr>
                <w:b/>
                <w:color w:val="FFFFFF"/>
                <w:sz w:val="19"/>
              </w:rPr>
              <w:t>Core Architectural Role</w:t>
            </w:r>
          </w:p>
        </w:tc>
        <w:tc>
          <w:tcPr>
            <w:tcW w:type="dxa" w:w="3120"/>
            <w:shd w:fill="1B365D"/>
            <w:tcMar>
              <w:top w:w="120" w:type="dxa"/>
              <w:bottom w:w="120" w:type="dxa"/>
              <w:left w:w="140" w:type="dxa"/>
              <w:right w:w="140" w:type="dxa"/>
            </w:tcMar>
          </w:tcPr>
          <w:p>
            <w:pPr>
              <w:jc w:val="left"/>
            </w:pPr>
            <w:r>
              <w:rPr>
                <w:b/>
                <w:color w:val="FFFFFF"/>
                <w:sz w:val="19"/>
              </w:rPr>
              <w:t>Key Functions &amp; Unique Capabilities</w:t>
            </w:r>
          </w:p>
        </w:tc>
      </w:tr>
      <w:tr>
        <w:tc>
          <w:tcPr>
            <w:tcW w:type="dxa" w:w="3120"/>
            <w:shd w:fill="F8F9FA"/>
            <w:tcMar>
              <w:top w:w="80" w:type="dxa"/>
              <w:bottom w:w="80" w:type="dxa"/>
              <w:left w:w="120" w:type="dxa"/>
              <w:right w:w="120" w:type="dxa"/>
            </w:tcMar>
          </w:tcPr>
          <w:p>
            <w:r>
              <w:rPr>
                <w:color w:val="2C3E50"/>
                <w:sz w:val="18"/>
              </w:rPr>
              <w:t>Pandas (v2.x+)</w:t>
            </w:r>
          </w:p>
        </w:tc>
        <w:tc>
          <w:tcPr>
            <w:tcW w:type="dxa" w:w="3120"/>
            <w:shd w:fill="F8F9FA"/>
            <w:tcMar>
              <w:top w:w="80" w:type="dxa"/>
              <w:bottom w:w="80" w:type="dxa"/>
              <w:left w:w="120" w:type="dxa"/>
              <w:right w:w="120" w:type="dxa"/>
            </w:tcMar>
          </w:tcPr>
          <w:p>
            <w:r>
              <w:rPr>
                <w:color w:val="2C3E50"/>
                <w:sz w:val="18"/>
              </w:rPr>
              <w:t>Data manipulation, vectorized transformations, and structural profiling.</w:t>
            </w:r>
          </w:p>
        </w:tc>
        <w:tc>
          <w:tcPr>
            <w:tcW w:type="dxa" w:w="3120"/>
            <w:shd w:fill="F8F9FA"/>
            <w:tcMar>
              <w:top w:w="80" w:type="dxa"/>
              <w:bottom w:w="80" w:type="dxa"/>
              <w:left w:w="120" w:type="dxa"/>
              <w:right w:w="120" w:type="dxa"/>
            </w:tcMar>
          </w:tcPr>
          <w:p>
            <w:r>
              <w:rPr>
                <w:color w:val="2C3E50"/>
                <w:sz w:val="18"/>
              </w:rPr>
              <w:t>read_csv(), describe(), info(), groupby(), pivot_table(), value_counts(), qcut().</w:t>
            </w:r>
          </w:p>
        </w:tc>
      </w:tr>
      <w:tr>
        <w:tc>
          <w:tcPr>
            <w:tcW w:type="dxa" w:w="3120"/>
            <w:shd w:fill="FFFFFF"/>
            <w:tcMar>
              <w:top w:w="80" w:type="dxa"/>
              <w:bottom w:w="80" w:type="dxa"/>
              <w:left w:w="120" w:type="dxa"/>
              <w:right w:w="120" w:type="dxa"/>
            </w:tcMar>
          </w:tcPr>
          <w:p>
            <w:r>
              <w:rPr>
                <w:color w:val="2C3E50"/>
                <w:sz w:val="18"/>
              </w:rPr>
              <w:t>NumPy (v2.x+)</w:t>
            </w:r>
          </w:p>
        </w:tc>
        <w:tc>
          <w:tcPr>
            <w:tcW w:type="dxa" w:w="3120"/>
            <w:shd w:fill="FFFFFF"/>
            <w:tcMar>
              <w:top w:w="80" w:type="dxa"/>
              <w:bottom w:w="80" w:type="dxa"/>
              <w:left w:w="120" w:type="dxa"/>
              <w:right w:w="120" w:type="dxa"/>
            </w:tcMar>
          </w:tcPr>
          <w:p>
            <w:r>
              <w:rPr>
                <w:color w:val="2C3E50"/>
                <w:sz w:val="18"/>
              </w:rPr>
              <w:t>High-performance N-dimensional array mathematics.</w:t>
            </w:r>
          </w:p>
        </w:tc>
        <w:tc>
          <w:tcPr>
            <w:tcW w:type="dxa" w:w="3120"/>
            <w:shd w:fill="FFFFFF"/>
            <w:tcMar>
              <w:top w:w="80" w:type="dxa"/>
              <w:bottom w:w="80" w:type="dxa"/>
              <w:left w:w="120" w:type="dxa"/>
              <w:right w:w="120" w:type="dxa"/>
            </w:tcMar>
          </w:tcPr>
          <w:p>
            <w:r>
              <w:rPr>
                <w:color w:val="2C3E50"/>
                <w:sz w:val="18"/>
              </w:rPr>
              <w:t>Vectorized boolean masking, quantile(), log1p(), where(), corrcoef().</w:t>
            </w:r>
          </w:p>
        </w:tc>
      </w:tr>
      <w:tr>
        <w:tc>
          <w:tcPr>
            <w:tcW w:type="dxa" w:w="3120"/>
            <w:shd w:fill="F8F9FA"/>
            <w:tcMar>
              <w:top w:w="80" w:type="dxa"/>
              <w:bottom w:w="80" w:type="dxa"/>
              <w:left w:w="120" w:type="dxa"/>
              <w:right w:w="120" w:type="dxa"/>
            </w:tcMar>
          </w:tcPr>
          <w:p>
            <w:r>
              <w:rPr>
                <w:color w:val="2C3E50"/>
                <w:sz w:val="18"/>
              </w:rPr>
              <w:t>Matplotlib</w:t>
            </w:r>
          </w:p>
        </w:tc>
        <w:tc>
          <w:tcPr>
            <w:tcW w:type="dxa" w:w="3120"/>
            <w:shd w:fill="F8F9FA"/>
            <w:tcMar>
              <w:top w:w="80" w:type="dxa"/>
              <w:bottom w:w="80" w:type="dxa"/>
              <w:left w:w="120" w:type="dxa"/>
              <w:right w:w="120" w:type="dxa"/>
            </w:tcMar>
          </w:tcPr>
          <w:p>
            <w:r>
              <w:rPr>
                <w:color w:val="2C3E50"/>
                <w:sz w:val="18"/>
              </w:rPr>
              <w:t>Low-level imperative visualization engine and figure architecture.</w:t>
            </w:r>
          </w:p>
        </w:tc>
        <w:tc>
          <w:tcPr>
            <w:tcW w:type="dxa" w:w="3120"/>
            <w:shd w:fill="F8F9FA"/>
            <w:tcMar>
              <w:top w:w="80" w:type="dxa"/>
              <w:bottom w:w="80" w:type="dxa"/>
              <w:left w:w="120" w:type="dxa"/>
              <w:right w:w="120" w:type="dxa"/>
            </w:tcMar>
          </w:tcPr>
          <w:p>
            <w:r>
              <w:rPr>
                <w:color w:val="2C3E50"/>
                <w:sz w:val="18"/>
              </w:rPr>
              <w:t>Custom figure grids (subplots), custom axis formatting, fine-grained DPI and layout control.</w:t>
            </w:r>
          </w:p>
        </w:tc>
      </w:tr>
      <w:tr>
        <w:tc>
          <w:tcPr>
            <w:tcW w:type="dxa" w:w="3120"/>
            <w:shd w:fill="FFFFFF"/>
            <w:tcMar>
              <w:top w:w="80" w:type="dxa"/>
              <w:bottom w:w="80" w:type="dxa"/>
              <w:left w:w="120" w:type="dxa"/>
              <w:right w:w="120" w:type="dxa"/>
            </w:tcMar>
          </w:tcPr>
          <w:p>
            <w:r>
              <w:rPr>
                <w:color w:val="2C3E50"/>
                <w:sz w:val="18"/>
              </w:rPr>
              <w:t>Seaborn</w:t>
            </w:r>
          </w:p>
        </w:tc>
        <w:tc>
          <w:tcPr>
            <w:tcW w:type="dxa" w:w="3120"/>
            <w:shd w:fill="FFFFFF"/>
            <w:tcMar>
              <w:top w:w="80" w:type="dxa"/>
              <w:bottom w:w="80" w:type="dxa"/>
              <w:left w:w="120" w:type="dxa"/>
              <w:right w:w="120" w:type="dxa"/>
            </w:tcMar>
          </w:tcPr>
          <w:p>
            <w:r>
              <w:rPr>
                <w:color w:val="2C3E50"/>
                <w:sz w:val="18"/>
              </w:rPr>
              <w:t>High-level statistical visualization library built on Matplotlib.</w:t>
            </w:r>
          </w:p>
        </w:tc>
        <w:tc>
          <w:tcPr>
            <w:tcW w:type="dxa" w:w="3120"/>
            <w:shd w:fill="FFFFFF"/>
            <w:tcMar>
              <w:top w:w="80" w:type="dxa"/>
              <w:bottom w:w="80" w:type="dxa"/>
              <w:left w:w="120" w:type="dxa"/>
              <w:right w:w="120" w:type="dxa"/>
            </w:tcMar>
          </w:tcPr>
          <w:p>
            <w:r>
              <w:rPr>
                <w:color w:val="2C3E50"/>
                <w:sz w:val="18"/>
              </w:rPr>
              <w:t>Automated statistical aggregation: histplot(), kdeplot(), violinplot(), heatmap(), pairplot().</w:t>
            </w:r>
          </w:p>
        </w:tc>
      </w:tr>
      <w:tr>
        <w:tc>
          <w:tcPr>
            <w:tcW w:type="dxa" w:w="3120"/>
            <w:shd w:fill="F8F9FA"/>
            <w:tcMar>
              <w:top w:w="80" w:type="dxa"/>
              <w:bottom w:w="80" w:type="dxa"/>
              <w:left w:w="120" w:type="dxa"/>
              <w:right w:w="120" w:type="dxa"/>
            </w:tcMar>
          </w:tcPr>
          <w:p>
            <w:r>
              <w:rPr>
                <w:color w:val="2C3E50"/>
                <w:sz w:val="18"/>
              </w:rPr>
              <w:t>Plotly / Dash</w:t>
            </w:r>
          </w:p>
        </w:tc>
        <w:tc>
          <w:tcPr>
            <w:tcW w:type="dxa" w:w="3120"/>
            <w:shd w:fill="F8F9FA"/>
            <w:tcMar>
              <w:top w:w="80" w:type="dxa"/>
              <w:bottom w:w="80" w:type="dxa"/>
              <w:left w:w="120" w:type="dxa"/>
              <w:right w:w="120" w:type="dxa"/>
            </w:tcMar>
          </w:tcPr>
          <w:p>
            <w:r>
              <w:rPr>
                <w:color w:val="2C3E50"/>
                <w:sz w:val="18"/>
              </w:rPr>
              <w:t>Declarative, interactive WebGL-rendered charts.</w:t>
            </w:r>
          </w:p>
        </w:tc>
        <w:tc>
          <w:tcPr>
            <w:tcW w:type="dxa" w:w="3120"/>
            <w:shd w:fill="F8F9FA"/>
            <w:tcMar>
              <w:top w:w="80" w:type="dxa"/>
              <w:bottom w:w="80" w:type="dxa"/>
              <w:left w:w="120" w:type="dxa"/>
              <w:right w:w="120" w:type="dxa"/>
            </w:tcMar>
          </w:tcPr>
          <w:p>
            <w:r>
              <w:rPr>
                <w:color w:val="2C3E50"/>
                <w:sz w:val="18"/>
              </w:rPr>
              <w:t>Hover tooltips, dynamic zooming/panning, 3D surface plots, interactive HTML dashboards.</w:t>
            </w:r>
          </w:p>
        </w:tc>
      </w:tr>
      <w:tr>
        <w:tc>
          <w:tcPr>
            <w:tcW w:type="dxa" w:w="3120"/>
            <w:shd w:fill="FFFFFF"/>
            <w:tcMar>
              <w:top w:w="80" w:type="dxa"/>
              <w:bottom w:w="80" w:type="dxa"/>
              <w:left w:w="120" w:type="dxa"/>
              <w:right w:w="120" w:type="dxa"/>
            </w:tcMar>
          </w:tcPr>
          <w:p>
            <w:r>
              <w:rPr>
                <w:color w:val="2C3E50"/>
                <w:sz w:val="18"/>
              </w:rPr>
              <w:t>SciPy (scipy.stats)</w:t>
            </w:r>
          </w:p>
        </w:tc>
        <w:tc>
          <w:tcPr>
            <w:tcW w:type="dxa" w:w="3120"/>
            <w:shd w:fill="FFFFFF"/>
            <w:tcMar>
              <w:top w:w="80" w:type="dxa"/>
              <w:bottom w:w="80" w:type="dxa"/>
              <w:left w:w="120" w:type="dxa"/>
              <w:right w:w="120" w:type="dxa"/>
            </w:tcMar>
          </w:tcPr>
          <w:p>
            <w:r>
              <w:rPr>
                <w:color w:val="2C3E50"/>
                <w:sz w:val="18"/>
              </w:rPr>
              <w:t>Rigorous inferential statistics and hypothesis testing.</w:t>
            </w:r>
          </w:p>
        </w:tc>
        <w:tc>
          <w:tcPr>
            <w:tcW w:type="dxa" w:w="3120"/>
            <w:shd w:fill="FFFFFF"/>
            <w:tcMar>
              <w:top w:w="80" w:type="dxa"/>
              <w:bottom w:w="80" w:type="dxa"/>
              <w:left w:w="120" w:type="dxa"/>
              <w:right w:w="120" w:type="dxa"/>
            </w:tcMar>
          </w:tcPr>
          <w:p>
            <w:r>
              <w:rPr>
                <w:color w:val="2C3E50"/>
                <w:sz w:val="18"/>
              </w:rPr>
              <w:t>ttest_ind(), chi2_contingency(), f_oneway(), shapiro(), normaltest(), stats.boxcox().</w:t>
            </w:r>
          </w:p>
        </w:tc>
      </w:tr>
      <w:tr>
        <w:tc>
          <w:tcPr>
            <w:tcW w:type="dxa" w:w="3120"/>
            <w:shd w:fill="F8F9FA"/>
            <w:tcMar>
              <w:top w:w="80" w:type="dxa"/>
              <w:bottom w:w="80" w:type="dxa"/>
              <w:left w:w="120" w:type="dxa"/>
              <w:right w:w="120" w:type="dxa"/>
            </w:tcMar>
          </w:tcPr>
          <w:p>
            <w:r>
              <w:rPr>
                <w:color w:val="2C3E50"/>
                <w:sz w:val="18"/>
              </w:rPr>
              <w:t>Missingno</w:t>
            </w:r>
          </w:p>
        </w:tc>
        <w:tc>
          <w:tcPr>
            <w:tcW w:type="dxa" w:w="3120"/>
            <w:shd w:fill="F8F9FA"/>
            <w:tcMar>
              <w:top w:w="80" w:type="dxa"/>
              <w:bottom w:w="80" w:type="dxa"/>
              <w:left w:w="120" w:type="dxa"/>
              <w:right w:w="120" w:type="dxa"/>
            </w:tcMar>
          </w:tcPr>
          <w:p>
            <w:r>
              <w:rPr>
                <w:color w:val="2C3E50"/>
                <w:sz w:val="18"/>
              </w:rPr>
              <w:t>Dedicated visual diagnostics for missing data matrices.</w:t>
            </w:r>
          </w:p>
        </w:tc>
        <w:tc>
          <w:tcPr>
            <w:tcW w:type="dxa" w:w="3120"/>
            <w:shd w:fill="F8F9FA"/>
            <w:tcMar>
              <w:top w:w="80" w:type="dxa"/>
              <w:bottom w:w="80" w:type="dxa"/>
              <w:left w:w="120" w:type="dxa"/>
              <w:right w:w="120" w:type="dxa"/>
            </w:tcMar>
          </w:tcPr>
          <w:p>
            <w:r>
              <w:rPr>
                <w:color w:val="2C3E50"/>
                <w:sz w:val="18"/>
              </w:rPr>
              <w:t>matrix(), bar(), heatmap(), dendrogram() to inspect MCAR/MAR patterns.</w:t>
            </w:r>
          </w:p>
        </w:tc>
      </w:tr>
    </w:tbl>
    <w:p/>
    <w:p>
      <w:pPr>
        <w:pStyle w:val="Heading1"/>
        <w:spacing w:before="280" w:after="120"/>
      </w:pPr>
      <w:r>
        <w:rPr>
          <w:color w:val="1B365D"/>
        </w:rPr>
        <w:t>7. Practical End-to-End Demonstration: Telco Churn Dataset</w:t>
      </w:r>
    </w:p>
    <w:p>
      <w:pPr>
        <w:spacing w:after="160"/>
      </w:pPr>
      <w:r>
        <w:t>To illustrate the end-to-end framework in action, we executed our automated EDA pipeline on the IBM Telco Customer Churn dataset, downloaded directly via terminal. The dataset consists of 7,043 customer records and 21 heterogeneous features covering customer demographics, subscribed services, billing metrics, and contract duration.</w:t>
      </w:r>
    </w:p>
    <w:p>
      <w:r>
        <w:drawing>
          <wp:inline xmlns:a="http://schemas.openxmlformats.org/drawingml/2006/main" xmlns:pic="http://schemas.openxmlformats.org/drawingml/2006/picture">
            <wp:extent cx="5303520" cy="2185494"/>
            <wp:docPr id="1" name="Picture 1"/>
            <wp:cNvGraphicFramePr>
              <a:graphicFrameLocks noChangeAspect="1"/>
            </wp:cNvGraphicFramePr>
            <a:graphic>
              <a:graphicData uri="http://schemas.openxmlformats.org/drawingml/2006/picture">
                <pic:pic>
                  <pic:nvPicPr>
                    <pic:cNvPr id="0" name="fig1_missing_and_target.png"/>
                    <pic:cNvPicPr/>
                  </pic:nvPicPr>
                  <pic:blipFill>
                    <a:blip r:embed="rId9"/>
                    <a:stretch>
                      <a:fillRect/>
                    </a:stretch>
                  </pic:blipFill>
                  <pic:spPr>
                    <a:xfrm>
                      <a:off x="0" y="0"/>
                      <a:ext cx="5303520" cy="2185494"/>
                    </a:xfrm>
                    <a:prstGeom prst="rect"/>
                  </pic:spPr>
                </pic:pic>
              </a:graphicData>
            </a:graphic>
          </wp:inline>
        </w:drawing>
      </w:r>
    </w:p>
    <w:p>
      <w:pPr>
        <w:jc w:val="center"/>
      </w:pPr>
      <w:r>
        <w:rPr>
          <w:i/>
          <w:sz w:val="18"/>
        </w:rPr>
        <w:t>Figure 1: Missing Data Diagnostics &amp; Target Class Balance (26.5% Churn Rate).</w:t>
      </w:r>
    </w:p>
    <w:p>
      <w:r>
        <w:t>Analytical Findings from Phase 1 &amp; 2:</w:t>
        <w:br/>
        <w:t>• Data Hygiene Issue Detected: 'TotalCharges' was stored as an Object dtype due to 11 records containing whitespace (' '). Converting to numeric revealed these were brand-new customers with tenure = 0 months. Imputed with the median ($1,397.48).</w:t>
        <w:br/>
        <w:t>• Class Imbalance: Churn rate is 26.5% (1,869 churners vs 5,174 retained). Accuracy alone will be misleading; Precision-Recall AUC and ROC-AUC are required.</w:t>
      </w:r>
    </w:p>
    <w:p>
      <w:r>
        <w:drawing>
          <wp:inline xmlns:a="http://schemas.openxmlformats.org/drawingml/2006/main" xmlns:pic="http://schemas.openxmlformats.org/drawingml/2006/picture">
            <wp:extent cx="5303520" cy="4095788"/>
            <wp:docPr id="2" name="Picture 2"/>
            <wp:cNvGraphicFramePr>
              <a:graphicFrameLocks noChangeAspect="1"/>
            </wp:cNvGraphicFramePr>
            <a:graphic>
              <a:graphicData uri="http://schemas.openxmlformats.org/drawingml/2006/picture">
                <pic:pic>
                  <pic:nvPicPr>
                    <pic:cNvPr id="0" name="fig2_univariate_numeric.png"/>
                    <pic:cNvPicPr/>
                  </pic:nvPicPr>
                  <pic:blipFill>
                    <a:blip r:embed="rId10"/>
                    <a:stretch>
                      <a:fillRect/>
                    </a:stretch>
                  </pic:blipFill>
                  <pic:spPr>
                    <a:xfrm>
                      <a:off x="0" y="0"/>
                      <a:ext cx="5303520" cy="4095788"/>
                    </a:xfrm>
                    <a:prstGeom prst="rect"/>
                  </pic:spPr>
                </pic:pic>
              </a:graphicData>
            </a:graphic>
          </wp:inline>
        </w:drawing>
      </w:r>
    </w:p>
    <w:p>
      <w:pPr>
        <w:jc w:val="center"/>
      </w:pPr>
      <w:r>
        <w:rPr>
          <w:i/>
          <w:sz w:val="18"/>
        </w:rPr>
        <w:t>Figure 2: Univariate Distribution Analysis for Tenure, Monthly Charges, and Total Charges.</w:t>
      </w:r>
    </w:p>
    <w:p>
      <w:r>
        <w:t>Numerical Distribution Profiling:</w:t>
        <w:br/>
        <w:t>• Tenure: Exhibits a bimodal distribution with massive peaks at Month 1 (new acquisitions) and Month 72 (long-term loyalists). Mean: 32.37m, Median: 29.0m, Skewness: 0.24.</w:t>
        <w:br/>
        <w:t>• Monthly Charges: Displays a large cluster around $20 and a broad high-tier distribution between $70-$105. Mean: $64.76, Median: $70.35.</w:t>
        <w:br/>
        <w:t>• Total Charges: Strong right-skewed distribution (Skew: +0.96) reflecting compounding tenure and bill amounts.</w:t>
      </w:r>
    </w:p>
    <w:p>
      <w:r>
        <w:drawing>
          <wp:inline xmlns:a="http://schemas.openxmlformats.org/drawingml/2006/main" xmlns:pic="http://schemas.openxmlformats.org/drawingml/2006/picture">
            <wp:extent cx="5303520" cy="3294090"/>
            <wp:docPr id="3" name="Picture 3"/>
            <wp:cNvGraphicFramePr>
              <a:graphicFrameLocks noChangeAspect="1"/>
            </wp:cNvGraphicFramePr>
            <a:graphic>
              <a:graphicData uri="http://schemas.openxmlformats.org/drawingml/2006/picture">
                <pic:pic>
                  <pic:nvPicPr>
                    <pic:cNvPr id="0" name="fig3_univariate_categorical.png"/>
                    <pic:cNvPicPr/>
                  </pic:nvPicPr>
                  <pic:blipFill>
                    <a:blip r:embed="rId11"/>
                    <a:stretch>
                      <a:fillRect/>
                    </a:stretch>
                  </pic:blipFill>
                  <pic:spPr>
                    <a:xfrm>
                      <a:off x="0" y="0"/>
                      <a:ext cx="5303520" cy="3294090"/>
                    </a:xfrm>
                    <a:prstGeom prst="rect"/>
                  </pic:spPr>
                </pic:pic>
              </a:graphicData>
            </a:graphic>
          </wp:inline>
        </w:drawing>
      </w:r>
    </w:p>
    <w:p>
      <w:pPr>
        <w:jc w:val="center"/>
      </w:pPr>
      <w:r>
        <w:rPr>
          <w:i/>
          <w:sz w:val="18"/>
        </w:rPr>
        <w:t>Figure 3: Univariate Proportions for High-Impact Categorical Features.</w:t>
      </w:r>
    </w:p>
    <w:p>
      <w:r>
        <w:t>Categorical Feature Insights:</w:t>
        <w:br/>
        <w:t>• Contract Structure: 55.0% Month-to-Month contracts, 24.1% 2-Year contracts, and 20.9% 1-Year contracts.</w:t>
        <w:br/>
        <w:t>• Internet Service: 44.0% Fiber Optic, 34.4% DSL, and 21.6% no internet service.</w:t>
        <w:br/>
        <w:t>• Payment Methods: Electronic Check is the most frequent payment method (33.6%).</w:t>
      </w:r>
    </w:p>
    <w:p>
      <w:r>
        <w:drawing>
          <wp:inline xmlns:a="http://schemas.openxmlformats.org/drawingml/2006/main" xmlns:pic="http://schemas.openxmlformats.org/drawingml/2006/picture">
            <wp:extent cx="5303520" cy="1687628"/>
            <wp:docPr id="4" name="Picture 4"/>
            <wp:cNvGraphicFramePr>
              <a:graphicFrameLocks noChangeAspect="1"/>
            </wp:cNvGraphicFramePr>
            <a:graphic>
              <a:graphicData uri="http://schemas.openxmlformats.org/drawingml/2006/picture">
                <pic:pic>
                  <pic:nvPicPr>
                    <pic:cNvPr id="0" name="fig4_bivariate_continuous_target.png"/>
                    <pic:cNvPicPr/>
                  </pic:nvPicPr>
                  <pic:blipFill>
                    <a:blip r:embed="rId12"/>
                    <a:stretch>
                      <a:fillRect/>
                    </a:stretch>
                  </pic:blipFill>
                  <pic:spPr>
                    <a:xfrm>
                      <a:off x="0" y="0"/>
                      <a:ext cx="5303520" cy="1687628"/>
                    </a:xfrm>
                    <a:prstGeom prst="rect"/>
                  </pic:spPr>
                </pic:pic>
              </a:graphicData>
            </a:graphic>
          </wp:inline>
        </w:drawing>
      </w:r>
    </w:p>
    <w:p>
      <w:pPr>
        <w:jc w:val="center"/>
      </w:pPr>
      <w:r>
        <w:rPr>
          <w:i/>
          <w:sz w:val="18"/>
        </w:rPr>
        <w:t>Figure 4: Bivariate Violin Plots: Continuous Feature Distributions Segmented by Churn Status.</w:t>
      </w:r>
    </w:p>
    <w:p>
      <w:r>
        <w:t>Bivariate &amp; Inferential Hypothesis Testing Results:</w:t>
        <w:br/>
        <w:t>• Welch's Independent T-Test (Tenure across Churn): t = -34.82, p-value = 1.20 × 10⁻²³². Churners have an overwhelmingly lower median tenure (10 months) compared to retained customers (38 months).</w:t>
        <w:br/>
        <w:t>• Monthly Charges Effect: Churners exhibit significantly higher median monthly charges ($79.65 vs. $64.40), indicating price sensitivity is a major churn driver.</w:t>
      </w:r>
    </w:p>
    <w:p>
      <w:r>
        <w:drawing>
          <wp:inline xmlns:a="http://schemas.openxmlformats.org/drawingml/2006/main" xmlns:pic="http://schemas.openxmlformats.org/drawingml/2006/picture">
            <wp:extent cx="4754880" cy="4233341"/>
            <wp:docPr id="5" name="Picture 5"/>
            <wp:cNvGraphicFramePr>
              <a:graphicFrameLocks noChangeAspect="1"/>
            </wp:cNvGraphicFramePr>
            <a:graphic>
              <a:graphicData uri="http://schemas.openxmlformats.org/drawingml/2006/picture">
                <pic:pic>
                  <pic:nvPicPr>
                    <pic:cNvPr id="0" name="fig5_correlation_heatmap.png"/>
                    <pic:cNvPicPr/>
                  </pic:nvPicPr>
                  <pic:blipFill>
                    <a:blip r:embed="rId13"/>
                    <a:stretch>
                      <a:fillRect/>
                    </a:stretch>
                  </pic:blipFill>
                  <pic:spPr>
                    <a:xfrm>
                      <a:off x="0" y="0"/>
                      <a:ext cx="4754880" cy="4233341"/>
                    </a:xfrm>
                    <a:prstGeom prst="rect"/>
                  </pic:spPr>
                </pic:pic>
              </a:graphicData>
            </a:graphic>
          </wp:inline>
        </w:drawing>
      </w:r>
    </w:p>
    <w:p>
      <w:pPr>
        <w:jc w:val="center"/>
      </w:pPr>
      <w:r>
        <w:rPr>
          <w:i/>
          <w:sz w:val="18"/>
        </w:rPr>
        <w:t>Figure 5: Correlation Heatmap across Continuous and Encoded Binary Features.</w:t>
      </w:r>
    </w:p>
    <w:p>
      <w:r>
        <w:drawing>
          <wp:inline xmlns:a="http://schemas.openxmlformats.org/drawingml/2006/main" xmlns:pic="http://schemas.openxmlformats.org/drawingml/2006/picture">
            <wp:extent cx="5303520" cy="1826196"/>
            <wp:docPr id="6" name="Picture 6"/>
            <wp:cNvGraphicFramePr>
              <a:graphicFrameLocks noChangeAspect="1"/>
            </wp:cNvGraphicFramePr>
            <a:graphic>
              <a:graphicData uri="http://schemas.openxmlformats.org/drawingml/2006/picture">
                <pic:pic>
                  <pic:nvPicPr>
                    <pic:cNvPr id="0" name="fig6_categorical_churn_crosstabs.png"/>
                    <pic:cNvPicPr/>
                  </pic:nvPicPr>
                  <pic:blipFill>
                    <a:blip r:embed="rId14"/>
                    <a:stretch>
                      <a:fillRect/>
                    </a:stretch>
                  </pic:blipFill>
                  <pic:spPr>
                    <a:xfrm>
                      <a:off x="0" y="0"/>
                      <a:ext cx="5303520" cy="1826196"/>
                    </a:xfrm>
                    <a:prstGeom prst="rect"/>
                  </pic:spPr>
                </pic:pic>
              </a:graphicData>
            </a:graphic>
          </wp:inline>
        </w:drawing>
      </w:r>
    </w:p>
    <w:p>
      <w:pPr>
        <w:jc w:val="center"/>
      </w:pPr>
      <w:r>
        <w:rPr>
          <w:i/>
          <w:sz w:val="18"/>
        </w:rPr>
        <w:t>Figure 6: Cross-Tabulated Churn Rates across Contract Types and Internet Service Tiers.</w:t>
      </w:r>
    </w:p>
    <w:p>
      <w:r>
        <w:t>Cross-Tabulation &amp; Chi-Square Independence Findings:</w:t>
        <w:br/>
        <w:t>• Chi-Square Test (Contract vs Churn): χ² = 1184.60, p-value = 5.86 × 10⁻²⁵⁸. Month-to-Month contracts have an alarming 42.7% churn rate, compared to just 11.3% for One-Year and 2.8% for Two-Year contracts.</w:t>
        <w:br/>
        <w:t>• Internet Service Risk: Fiber Optic users churn at 41.9%, compared to 18.9% for DSL and 7.4% for customers with no internet.</w:t>
      </w:r>
    </w:p>
    <w:p>
      <w:r>
        <w:drawing>
          <wp:inline xmlns:a="http://schemas.openxmlformats.org/drawingml/2006/main" xmlns:pic="http://schemas.openxmlformats.org/drawingml/2006/picture">
            <wp:extent cx="5303520" cy="2945372"/>
            <wp:docPr id="7" name="Picture 7"/>
            <wp:cNvGraphicFramePr>
              <a:graphicFrameLocks noChangeAspect="1"/>
            </wp:cNvGraphicFramePr>
            <a:graphic>
              <a:graphicData uri="http://schemas.openxmlformats.org/drawingml/2006/picture">
                <pic:pic>
                  <pic:nvPicPr>
                    <pic:cNvPr id="0" name="fig7_multivariate_interaction.png"/>
                    <pic:cNvPicPr/>
                  </pic:nvPicPr>
                  <pic:blipFill>
                    <a:blip r:embed="rId15"/>
                    <a:stretch>
                      <a:fillRect/>
                    </a:stretch>
                  </pic:blipFill>
                  <pic:spPr>
                    <a:xfrm>
                      <a:off x="0" y="0"/>
                      <a:ext cx="5303520" cy="2945372"/>
                    </a:xfrm>
                    <a:prstGeom prst="rect"/>
                  </pic:spPr>
                </pic:pic>
              </a:graphicData>
            </a:graphic>
          </wp:inline>
        </w:drawing>
      </w:r>
    </w:p>
    <w:p>
      <w:pPr>
        <w:jc w:val="center"/>
      </w:pPr>
      <w:r>
        <w:rPr>
          <w:i/>
          <w:sz w:val="18"/>
        </w:rPr>
        <w:t>Figure 7: Multivariate Interaction Plot (Tenure vs Monthly Charges faceted by Contract &amp; Churn).</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36" w:space="0" w:color="1B365D"/>
              <w:bottom w:val="none"/>
              <w:right w:val="none"/>
            </w:tcBorders>
          </w:tcPr>
          <w:p>
            <w:pPr>
              <w:spacing w:before="40" w:after="80"/>
            </w:pPr>
            <w:r>
              <w:rPr>
                <w:b/>
                <w:color w:val="1B365D"/>
                <w:sz w:val="21"/>
              </w:rPr>
              <w:t>📌 ACTIONABLE FEATURE ENGINEERING RECOMMENDATIONS DERIVED FROM EDA</w:t>
              <w:br/>
            </w:r>
          </w:p>
          <w:p>
            <w:pPr>
              <w:spacing w:before="40" w:after="40"/>
            </w:pPr>
            <w:r>
              <w:rPr>
                <w:color w:val="2C3E50"/>
                <w:sz w:val="19"/>
              </w:rPr>
              <w:t>• Feature Engineering Opportunity 1: Create 'Tenure_Cohort' (&lt;12m, 12-24m, 24-48m, 48m+) to capture the non-linear risk decay.</w:t>
            </w:r>
          </w:p>
          <w:p>
            <w:pPr>
              <w:spacing w:before="40" w:after="40"/>
            </w:pPr>
            <w:r>
              <w:rPr>
                <w:color w:val="2C3E50"/>
                <w:sz w:val="19"/>
              </w:rPr>
              <w:t>• Feature Engineering Opportunity 2: Create 'Charge_Ratio' = (TotalCharges / (tenure * MonthlyCharges)) to detect billing anomalies.</w:t>
            </w:r>
          </w:p>
          <w:p>
            <w:pPr>
              <w:spacing w:before="40" w:after="40"/>
            </w:pPr>
            <w:r>
              <w:rPr>
                <w:color w:val="2C3E50"/>
                <w:sz w:val="19"/>
              </w:rPr>
              <w:t>• Feature Engineering Opportunity 3: Create 'HighRisk_Flag' = (Month-to-Month Contract + Electronic Check + Fiber Optic).</w:t>
            </w:r>
          </w:p>
        </w:tc>
      </w:tr>
    </w:tbl>
    <w:p/>
    <w:p>
      <w:pPr>
        <w:pStyle w:val="Heading1"/>
        <w:spacing w:before="280" w:after="120"/>
      </w:pPr>
      <w:r>
        <w:rPr>
          <w:color w:val="1B365D"/>
        </w:rPr>
        <w:t>8. Plan for Documenting, Reporting &amp; Stakeholder Presentation</w:t>
      </w:r>
    </w:p>
    <w:tbl>
      <w:tblPr>
        <w:tblW w:type="auto" w:w="0"/>
        <w:jc w:val="center"/>
        <w:tblLook w:firstColumn="1" w:firstRow="1" w:lastColumn="0" w:lastRow="0" w:noHBand="0" w:noVBand="1" w:val="04A0"/>
      </w:tblPr>
      <w:tblGrid>
        <w:gridCol w:w="2160"/>
        <w:gridCol w:w="3168"/>
        <w:gridCol w:w="4032"/>
      </w:tblGrid>
      <w:tr>
        <w:tc>
          <w:tcPr>
            <w:tcW w:type="dxa" w:w="3120"/>
            <w:shd w:fill="1B365D"/>
            <w:tcMar>
              <w:top w:w="120" w:type="dxa"/>
              <w:bottom w:w="120" w:type="dxa"/>
              <w:left w:w="140" w:type="dxa"/>
              <w:right w:w="140" w:type="dxa"/>
            </w:tcMar>
          </w:tcPr>
          <w:p>
            <w:pPr>
              <w:jc w:val="left"/>
            </w:pPr>
            <w:r>
              <w:rPr>
                <w:b/>
                <w:color w:val="FFFFFF"/>
                <w:sz w:val="19"/>
              </w:rPr>
              <w:t>Report Section</w:t>
            </w:r>
          </w:p>
        </w:tc>
        <w:tc>
          <w:tcPr>
            <w:tcW w:type="dxa" w:w="3120"/>
            <w:shd w:fill="1B365D"/>
            <w:tcMar>
              <w:top w:w="120" w:type="dxa"/>
              <w:bottom w:w="120" w:type="dxa"/>
              <w:left w:w="140" w:type="dxa"/>
              <w:right w:w="140" w:type="dxa"/>
            </w:tcMar>
          </w:tcPr>
          <w:p>
            <w:pPr>
              <w:jc w:val="left"/>
            </w:pPr>
            <w:r>
              <w:rPr>
                <w:b/>
                <w:color w:val="FFFFFF"/>
                <w:sz w:val="19"/>
              </w:rPr>
              <w:t>Target Audience &amp; Focus</w:t>
            </w:r>
          </w:p>
        </w:tc>
        <w:tc>
          <w:tcPr>
            <w:tcW w:type="dxa" w:w="3120"/>
            <w:shd w:fill="1B365D"/>
            <w:tcMar>
              <w:top w:w="120" w:type="dxa"/>
              <w:bottom w:w="120" w:type="dxa"/>
              <w:left w:w="140" w:type="dxa"/>
              <w:right w:w="140" w:type="dxa"/>
            </w:tcMar>
          </w:tcPr>
          <w:p>
            <w:pPr>
              <w:jc w:val="left"/>
            </w:pPr>
            <w:r>
              <w:rPr>
                <w:b/>
                <w:color w:val="FFFFFF"/>
                <w:sz w:val="19"/>
              </w:rPr>
              <w:t>Key Deliverables &amp; Artifacts</w:t>
            </w:r>
          </w:p>
        </w:tc>
      </w:tr>
      <w:tr>
        <w:tc>
          <w:tcPr>
            <w:tcW w:type="dxa" w:w="3120"/>
            <w:shd w:fill="F8F9FA"/>
            <w:tcMar>
              <w:top w:w="80" w:type="dxa"/>
              <w:bottom w:w="80" w:type="dxa"/>
              <w:left w:w="120" w:type="dxa"/>
              <w:right w:w="120" w:type="dxa"/>
            </w:tcMar>
          </w:tcPr>
          <w:p>
            <w:r>
              <w:rPr>
                <w:color w:val="2C3E50"/>
                <w:sz w:val="18"/>
              </w:rPr>
              <w:t>Executive Summary</w:t>
            </w:r>
          </w:p>
        </w:tc>
        <w:tc>
          <w:tcPr>
            <w:tcW w:type="dxa" w:w="3120"/>
            <w:shd w:fill="F8F9FA"/>
            <w:tcMar>
              <w:top w:w="80" w:type="dxa"/>
              <w:bottom w:w="80" w:type="dxa"/>
              <w:left w:w="120" w:type="dxa"/>
              <w:right w:w="120" w:type="dxa"/>
            </w:tcMar>
          </w:tcPr>
          <w:p>
            <w:r>
              <w:rPr>
                <w:color w:val="2C3E50"/>
                <w:sz w:val="18"/>
              </w:rPr>
              <w:t>C-Suite &amp; Business Leadership: High-level financial impact and strategic recommendations.</w:t>
            </w:r>
          </w:p>
        </w:tc>
        <w:tc>
          <w:tcPr>
            <w:tcW w:type="dxa" w:w="3120"/>
            <w:shd w:fill="F8F9FA"/>
            <w:tcMar>
              <w:top w:w="80" w:type="dxa"/>
              <w:bottom w:w="80" w:type="dxa"/>
              <w:left w:w="120" w:type="dxa"/>
              <w:right w:w="120" w:type="dxa"/>
            </w:tcMar>
          </w:tcPr>
          <w:p>
            <w:r>
              <w:rPr>
                <w:color w:val="2C3E50"/>
                <w:sz w:val="18"/>
              </w:rPr>
              <w:t>1-page dashboard, churn drivers ranked by business cost, key ROI projections.</w:t>
            </w:r>
          </w:p>
        </w:tc>
      </w:tr>
      <w:tr>
        <w:tc>
          <w:tcPr>
            <w:tcW w:type="dxa" w:w="3120"/>
            <w:shd w:fill="FFFFFF"/>
            <w:tcMar>
              <w:top w:w="80" w:type="dxa"/>
              <w:bottom w:w="80" w:type="dxa"/>
              <w:left w:w="120" w:type="dxa"/>
              <w:right w:w="120" w:type="dxa"/>
            </w:tcMar>
          </w:tcPr>
          <w:p>
            <w:r>
              <w:rPr>
                <w:color w:val="2C3E50"/>
                <w:sz w:val="18"/>
              </w:rPr>
              <w:t>Data Quality &amp; Governance</w:t>
            </w:r>
          </w:p>
        </w:tc>
        <w:tc>
          <w:tcPr>
            <w:tcW w:type="dxa" w:w="3120"/>
            <w:shd w:fill="FFFFFF"/>
            <w:tcMar>
              <w:top w:w="80" w:type="dxa"/>
              <w:bottom w:w="80" w:type="dxa"/>
              <w:left w:w="120" w:type="dxa"/>
              <w:right w:w="120" w:type="dxa"/>
            </w:tcMar>
          </w:tcPr>
          <w:p>
            <w:r>
              <w:rPr>
                <w:color w:val="2C3E50"/>
                <w:sz w:val="18"/>
              </w:rPr>
              <w:t>Data Engineering &amp; Compliance: Audit trail of missingness, corruption, and schemas.</w:t>
            </w:r>
          </w:p>
        </w:tc>
        <w:tc>
          <w:tcPr>
            <w:tcW w:type="dxa" w:w="3120"/>
            <w:shd w:fill="FFFFFF"/>
            <w:tcMar>
              <w:top w:w="80" w:type="dxa"/>
              <w:bottom w:w="80" w:type="dxa"/>
              <w:left w:w="120" w:type="dxa"/>
              <w:right w:w="120" w:type="dxa"/>
            </w:tcMar>
          </w:tcPr>
          <w:p>
            <w:r>
              <w:rPr>
                <w:color w:val="2C3E50"/>
                <w:sz w:val="18"/>
              </w:rPr>
              <w:t>Missing data audit tables, schema validation logs, data pipeline patch recommendations.</w:t>
            </w:r>
          </w:p>
        </w:tc>
      </w:tr>
      <w:tr>
        <w:tc>
          <w:tcPr>
            <w:tcW w:type="dxa" w:w="3120"/>
            <w:shd w:fill="F8F9FA"/>
            <w:tcMar>
              <w:top w:w="80" w:type="dxa"/>
              <w:bottom w:w="80" w:type="dxa"/>
              <w:left w:w="120" w:type="dxa"/>
              <w:right w:w="120" w:type="dxa"/>
            </w:tcMar>
          </w:tcPr>
          <w:p>
            <w:r>
              <w:rPr>
                <w:color w:val="2C3E50"/>
                <w:sz w:val="18"/>
              </w:rPr>
              <w:t>Deep Statistical Analysis</w:t>
            </w:r>
          </w:p>
        </w:tc>
        <w:tc>
          <w:tcPr>
            <w:tcW w:type="dxa" w:w="3120"/>
            <w:shd w:fill="F8F9FA"/>
            <w:tcMar>
              <w:top w:w="80" w:type="dxa"/>
              <w:bottom w:w="80" w:type="dxa"/>
              <w:left w:w="120" w:type="dxa"/>
              <w:right w:w="120" w:type="dxa"/>
            </w:tcMar>
          </w:tcPr>
          <w:p>
            <w:r>
              <w:rPr>
                <w:color w:val="2C3E50"/>
                <w:sz w:val="18"/>
              </w:rPr>
              <w:t>Data Science &amp; ML Engineers: Distribution parameters, correlation matrices, test stats.</w:t>
            </w:r>
          </w:p>
        </w:tc>
        <w:tc>
          <w:tcPr>
            <w:tcW w:type="dxa" w:w="3120"/>
            <w:shd w:fill="F8F9FA"/>
            <w:tcMar>
              <w:top w:w="80" w:type="dxa"/>
              <w:bottom w:w="80" w:type="dxa"/>
              <w:left w:w="120" w:type="dxa"/>
              <w:right w:w="120" w:type="dxa"/>
            </w:tcMar>
          </w:tcPr>
          <w:p>
            <w:r>
              <w:rPr>
                <w:color w:val="2C3E50"/>
                <w:sz w:val="18"/>
              </w:rPr>
              <w:t>Full Jupyter notebooks, p-value tables, VIF multicollinearity reports, transformation curves.</w:t>
            </w:r>
          </w:p>
        </w:tc>
      </w:tr>
      <w:tr>
        <w:tc>
          <w:tcPr>
            <w:tcW w:type="dxa" w:w="3120"/>
            <w:shd w:fill="FFFFFF"/>
            <w:tcMar>
              <w:top w:w="80" w:type="dxa"/>
              <w:bottom w:w="80" w:type="dxa"/>
              <w:left w:w="120" w:type="dxa"/>
              <w:right w:w="120" w:type="dxa"/>
            </w:tcMar>
          </w:tcPr>
          <w:p>
            <w:r>
              <w:rPr>
                <w:color w:val="2C3E50"/>
                <w:sz w:val="18"/>
              </w:rPr>
              <w:t>Production Roadmap</w:t>
            </w:r>
          </w:p>
        </w:tc>
        <w:tc>
          <w:tcPr>
            <w:tcW w:type="dxa" w:w="3120"/>
            <w:shd w:fill="FFFFFF"/>
            <w:tcMar>
              <w:top w:w="80" w:type="dxa"/>
              <w:bottom w:w="80" w:type="dxa"/>
              <w:left w:w="120" w:type="dxa"/>
              <w:right w:w="120" w:type="dxa"/>
            </w:tcMar>
          </w:tcPr>
          <w:p>
            <w:r>
              <w:rPr>
                <w:color w:val="2C3E50"/>
                <w:sz w:val="18"/>
              </w:rPr>
              <w:t>Product Managers &amp; Operations: Concrete operational changes and next sprint milestones.</w:t>
            </w:r>
          </w:p>
        </w:tc>
        <w:tc>
          <w:tcPr>
            <w:tcW w:type="dxa" w:w="3120"/>
            <w:shd w:fill="FFFFFF"/>
            <w:tcMar>
              <w:top w:w="80" w:type="dxa"/>
              <w:bottom w:w="80" w:type="dxa"/>
              <w:left w:w="120" w:type="dxa"/>
              <w:right w:w="120" w:type="dxa"/>
            </w:tcMar>
          </w:tcPr>
          <w:p>
            <w:r>
              <w:rPr>
                <w:color w:val="2C3E50"/>
                <w:sz w:val="18"/>
              </w:rPr>
              <w:t>Feature engineering dictionary, model baseline criteria, tracking metrics (KPI dashboards).</w:t>
            </w:r>
          </w:p>
        </w:tc>
      </w:tr>
    </w:tbl>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Borders>
              <w:top w:val="none"/>
              <w:left w:val="single" w:sz="36" w:space="0" w:color="1B365D"/>
              <w:bottom w:val="none"/>
              <w:right w:val="none"/>
            </w:tcBorders>
          </w:tcPr>
          <w:p>
            <w:pPr>
              <w:spacing w:before="40" w:after="80"/>
            </w:pPr>
            <w:r>
              <w:rPr>
                <w:b/>
                <w:color w:val="1B365D"/>
                <w:sz w:val="21"/>
              </w:rPr>
              <w:t>📌 FINAL METHODOLOGY SUMMARY &amp; BEST PRACTICES</w:t>
              <w:br/>
            </w:r>
          </w:p>
          <w:p>
            <w:pPr>
              <w:spacing w:before="40" w:after="40"/>
            </w:pPr>
            <w:r>
              <w:rPr>
                <w:color w:val="2C3E50"/>
                <w:sz w:val="19"/>
              </w:rPr>
              <w:t>• Standardized EDA Checklists ensure reproducibility across multi-engineer data science teams.</w:t>
            </w:r>
          </w:p>
          <w:p>
            <w:pPr>
              <w:spacing w:before="40" w:after="40"/>
            </w:pPr>
            <w:r>
              <w:rPr>
                <w:color w:val="2C3E50"/>
                <w:sz w:val="19"/>
              </w:rPr>
              <w:t>• Automated reporting (e.g. Quarto, Jupyter Book, Streamlit) bridges the gap between raw data and executive strategy.</w:t>
            </w:r>
          </w:p>
          <w:p>
            <w:pPr>
              <w:spacing w:before="40" w:after="40"/>
            </w:pPr>
            <w:r>
              <w:rPr>
                <w:color w:val="2C3E50"/>
                <w:sz w:val="19"/>
              </w:rPr>
              <w:t>• Always link statistical patterns directly to dollarized business outcomes (e.g., Fiber Optic churn costs $X million annually).</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Exploratory Data Analysis (EDA) and Visualization Framework Design</dc:title>
  <dc:subject>Data Science Week 2 Deliverable</dc:subject>
  <dc:creator>Arun Pandian</dc:creator>
  <cp:keywords/>
  <dc:description>Comprehensive EDA Framework by Arun Pandian (arunpandi47777@gmail.com)</dc:description>
  <cp:lastModifiedBy/>
  <cp:revision>1</cp:revision>
  <dcterms:created xsi:type="dcterms:W3CDTF">2013-12-23T23:15:00Z</dcterms:created>
  <dcterms:modified xsi:type="dcterms:W3CDTF">2013-12-23T23:15:00Z</dcterms:modified>
  <cp:category/>
</cp:coreProperties>
</file>