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B1845" w14:textId="77777777" w:rsidR="00026C63" w:rsidRDefault="00026C63" w:rsidP="00026C63">
      <w:pPr>
        <w:pStyle w:val="Heading1"/>
      </w:pPr>
      <w:r>
        <w:rPr>
          <w:rStyle w:val="Strong"/>
          <w:b w:val="0"/>
          <w:bCs w:val="0"/>
        </w:rPr>
        <w:t>WEP Peripherals Ltd. vs Regional Provident Fund Commissioner-II</w:t>
      </w:r>
    </w:p>
    <w:p w14:paraId="6261055E" w14:textId="29080CB5" w:rsidR="00026C63" w:rsidRDefault="00026C63" w:rsidP="00026C63">
      <w:pPr>
        <w:pStyle w:val="Heading3"/>
      </w:pPr>
      <w:r>
        <w:rPr>
          <w:rStyle w:val="Strong"/>
          <w:b/>
          <w:bCs/>
        </w:rPr>
        <w:t>Section 7A Inquiry under the Employees’ Provident Fund &amp; MP Act, 1952</w:t>
      </w:r>
    </w:p>
    <w:p w14:paraId="69CE0CD7" w14:textId="77777777" w:rsidR="00DC5FC4" w:rsidRDefault="00DC5FC4"/>
    <w:p w14:paraId="53169A2B" w14:textId="77777777" w:rsidR="00026C63" w:rsidRDefault="00026C63" w:rsidP="00026C63">
      <w:pPr>
        <w:pStyle w:val="Heading3"/>
      </w:pPr>
      <w:r>
        <w:rPr>
          <w:rStyle w:val="Strong"/>
          <w:b/>
          <w:bCs/>
        </w:rPr>
        <w:t>1. Case Background</w:t>
      </w:r>
    </w:p>
    <w:p w14:paraId="25254328" w14:textId="77777777" w:rsidR="00026C63" w:rsidRDefault="00026C63" w:rsidP="00026C63">
      <w:pPr>
        <w:pStyle w:val="NormalWeb"/>
      </w:pPr>
      <w:r>
        <w:t xml:space="preserve">The inquiry under </w:t>
      </w:r>
      <w:r>
        <w:rPr>
          <w:rStyle w:val="Strong"/>
        </w:rPr>
        <w:t>Section 7A of the Employees’ Provident Fund (EPF) and Miscellaneous Provisions Act, 1952</w:t>
      </w:r>
      <w:r>
        <w:t xml:space="preserve"> was initiated against </w:t>
      </w:r>
      <w:r>
        <w:rPr>
          <w:rStyle w:val="Strong"/>
        </w:rPr>
        <w:t>WEP Peripherals Limited</w:t>
      </w:r>
      <w:r>
        <w:t xml:space="preserve">, located at </w:t>
      </w:r>
      <w:r>
        <w:rPr>
          <w:rStyle w:val="Strong"/>
        </w:rPr>
        <w:t>#401/A, Lavelle Road, Bengaluru</w:t>
      </w:r>
      <w:r>
        <w:t xml:space="preserve">. The inquiry pertained to the </w:t>
      </w:r>
      <w:r>
        <w:rPr>
          <w:rStyle w:val="Strong"/>
        </w:rPr>
        <w:t>assessment of provident fund dues</w:t>
      </w:r>
      <w:r>
        <w:t xml:space="preserve"> for the period </w:t>
      </w:r>
      <w:r>
        <w:rPr>
          <w:rStyle w:val="Strong"/>
        </w:rPr>
        <w:t>April 2004 to July 2007</w:t>
      </w:r>
      <w:r>
        <w:t>.</w:t>
      </w:r>
    </w:p>
    <w:p w14:paraId="218E1FB6" w14:textId="77777777" w:rsidR="00026C63" w:rsidRDefault="00026C63" w:rsidP="00026C63">
      <w:pPr>
        <w:pStyle w:val="NormalWeb"/>
      </w:pPr>
      <w:r>
        <w:t xml:space="preserve">The crux of the matter revolved around whether </w:t>
      </w:r>
      <w:r>
        <w:rPr>
          <w:rStyle w:val="Strong"/>
        </w:rPr>
        <w:t>"Personal Pay"</w:t>
      </w:r>
      <w:r>
        <w:t xml:space="preserve"> paid by the company qualifies as </w:t>
      </w:r>
      <w:r>
        <w:rPr>
          <w:rStyle w:val="Strong"/>
        </w:rPr>
        <w:t>Basic Wages</w:t>
      </w:r>
      <w:r>
        <w:t xml:space="preserve"> under the Act and whether PF contributions should be calculated on it. The dispute escalated through multiple hearings, court interventions, and appeals.</w:t>
      </w:r>
    </w:p>
    <w:p w14:paraId="64635C36" w14:textId="77777777" w:rsidR="00026C63" w:rsidRDefault="00026C63" w:rsidP="00026C63">
      <w:r>
        <w:pict w14:anchorId="2192652D">
          <v:rect id="_x0000_i1067" style="width:0;height:1.5pt" o:hralign="center" o:hrstd="t" o:hr="t" fillcolor="#a0a0a0" stroked="f"/>
        </w:pict>
      </w:r>
    </w:p>
    <w:p w14:paraId="52D56E50" w14:textId="77777777" w:rsidR="00026C63" w:rsidRDefault="00026C63" w:rsidP="00026C63">
      <w:pPr>
        <w:pStyle w:val="Heading3"/>
      </w:pPr>
      <w:r>
        <w:rPr>
          <w:rStyle w:val="Strong"/>
          <w:b/>
          <w:bCs/>
        </w:rPr>
        <w:t>2. Chronological Events</w:t>
      </w:r>
    </w:p>
    <w:p w14:paraId="60F5E613" w14:textId="77777777" w:rsidR="00026C63" w:rsidRDefault="00026C63" w:rsidP="00026C63">
      <w:pPr>
        <w:pStyle w:val="Heading4"/>
      </w:pPr>
      <w:r>
        <w:rPr>
          <w:rStyle w:val="Strong"/>
          <w:b w:val="0"/>
          <w:bCs w:val="0"/>
        </w:rPr>
        <w:t>2.1 Initial Inquiry and Observations (2004–2008)</w:t>
      </w:r>
    </w:p>
    <w:p w14:paraId="54886023" w14:textId="77777777" w:rsidR="00026C63" w:rsidRDefault="00026C63" w:rsidP="00026C63">
      <w:pPr>
        <w:pStyle w:val="NormalWeb"/>
        <w:numPr>
          <w:ilvl w:val="0"/>
          <w:numId w:val="48"/>
        </w:numPr>
      </w:pPr>
      <w:r>
        <w:rPr>
          <w:rStyle w:val="Strong"/>
        </w:rPr>
        <w:t>April 2004–July 2007</w:t>
      </w:r>
      <w:r>
        <w:t>:</w:t>
      </w:r>
    </w:p>
    <w:p w14:paraId="0EDCF483" w14:textId="77777777" w:rsidR="00026C63" w:rsidRDefault="00026C63" w:rsidP="00026C63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 xml:space="preserve">WEP Peripherals Limited allegedly defaulted on contributions for </w:t>
      </w:r>
      <w:r>
        <w:rPr>
          <w:rStyle w:val="Strong"/>
        </w:rPr>
        <w:t>Personal Pay</w:t>
      </w:r>
      <w:r>
        <w:t xml:space="preserve"> under the EPF Act.</w:t>
      </w:r>
    </w:p>
    <w:p w14:paraId="4D9CF83E" w14:textId="77777777" w:rsidR="00026C63" w:rsidRDefault="00026C63" w:rsidP="00026C63">
      <w:pPr>
        <w:pStyle w:val="NormalWeb"/>
        <w:numPr>
          <w:ilvl w:val="0"/>
          <w:numId w:val="48"/>
        </w:numPr>
      </w:pPr>
      <w:r>
        <w:rPr>
          <w:rStyle w:val="Strong"/>
        </w:rPr>
        <w:t>2007–2008</w:t>
      </w:r>
      <w:r>
        <w:t>:</w:t>
      </w:r>
    </w:p>
    <w:p w14:paraId="19EC3446" w14:textId="77777777" w:rsidR="00026C63" w:rsidRDefault="00026C63" w:rsidP="00026C63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Enforcement Officer (EO)</w:t>
      </w:r>
      <w:r>
        <w:t xml:space="preserve"> conducted an inspection and submitted a report. The EO identified arrears for the inquiry period and observed that Personal Pay was </w:t>
      </w:r>
      <w:r>
        <w:rPr>
          <w:rStyle w:val="Strong"/>
        </w:rPr>
        <w:t>not included</w:t>
      </w:r>
      <w:r>
        <w:t xml:space="preserve"> in the PF calculations by the company.</w:t>
      </w:r>
    </w:p>
    <w:p w14:paraId="159E1B6D" w14:textId="77777777" w:rsidR="00026C63" w:rsidRDefault="00026C63" w:rsidP="00026C63">
      <w:pPr>
        <w:pStyle w:val="NormalWeb"/>
        <w:numPr>
          <w:ilvl w:val="0"/>
          <w:numId w:val="48"/>
        </w:numPr>
      </w:pPr>
      <w:r>
        <w:rPr>
          <w:rStyle w:val="Strong"/>
        </w:rPr>
        <w:t>May 2008</w:t>
      </w:r>
      <w:r>
        <w:t>:</w:t>
      </w:r>
    </w:p>
    <w:p w14:paraId="6D8EEEB3" w14:textId="77777777" w:rsidR="00026C63" w:rsidRDefault="00026C63" w:rsidP="00026C63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The EO issued notices to the company for arrears, highlighting non-compliance and demanding the inclusion of Personal Pay under Basic Wages.</w:t>
      </w:r>
    </w:p>
    <w:p w14:paraId="1F683B85" w14:textId="77777777" w:rsidR="00026C63" w:rsidRDefault="00026C63" w:rsidP="00026C63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Court Orders</w:t>
      </w:r>
      <w:r>
        <w:t>: The company challenged the inquiry, and the case was stayed temporarily by the High Court of Karnataka.</w:t>
      </w:r>
    </w:p>
    <w:p w14:paraId="7CC025C5" w14:textId="77777777" w:rsidR="00026C63" w:rsidRDefault="00026C63" w:rsidP="00026C63">
      <w:pPr>
        <w:pStyle w:val="NormalWeb"/>
        <w:numPr>
          <w:ilvl w:val="0"/>
          <w:numId w:val="48"/>
        </w:numPr>
      </w:pPr>
      <w:r>
        <w:rPr>
          <w:rStyle w:val="Strong"/>
        </w:rPr>
        <w:t>June 2008</w:t>
      </w:r>
      <w:r>
        <w:t>:</w:t>
      </w:r>
    </w:p>
    <w:p w14:paraId="7275E934" w14:textId="77777777" w:rsidR="00026C63" w:rsidRDefault="00026C63" w:rsidP="00026C63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Writ Petition</w:t>
      </w:r>
      <w:r>
        <w:t xml:space="preserve"> was filed by the company challenging the inclusion of Personal Pay. The </w:t>
      </w:r>
      <w:r>
        <w:rPr>
          <w:rStyle w:val="Strong"/>
        </w:rPr>
        <w:t>High Court directed</w:t>
      </w:r>
      <w:r>
        <w:t xml:space="preserve"> the matter to proceed under Section 7A.</w:t>
      </w:r>
    </w:p>
    <w:p w14:paraId="30806CCC" w14:textId="77777777" w:rsidR="00026C63" w:rsidRDefault="00026C63" w:rsidP="00026C63">
      <w:pPr>
        <w:spacing w:after="0"/>
      </w:pPr>
      <w:r>
        <w:pict w14:anchorId="08402AC5">
          <v:rect id="_x0000_i1068" style="width:0;height:1.5pt" o:hralign="center" o:hrstd="t" o:hr="t" fillcolor="#a0a0a0" stroked="f"/>
        </w:pict>
      </w:r>
    </w:p>
    <w:p w14:paraId="49DAA028" w14:textId="77777777" w:rsidR="00026C63" w:rsidRDefault="00026C63" w:rsidP="00026C63">
      <w:pPr>
        <w:pStyle w:val="Heading4"/>
      </w:pPr>
      <w:r>
        <w:rPr>
          <w:rStyle w:val="Strong"/>
          <w:b w:val="0"/>
          <w:bCs w:val="0"/>
        </w:rPr>
        <w:t>2.2 Tribunal and High Court Interventions (2008–2010)</w:t>
      </w:r>
    </w:p>
    <w:p w14:paraId="633EF466" w14:textId="77777777" w:rsidR="00026C63" w:rsidRDefault="00026C63" w:rsidP="00026C63">
      <w:pPr>
        <w:pStyle w:val="NormalWeb"/>
        <w:numPr>
          <w:ilvl w:val="0"/>
          <w:numId w:val="49"/>
        </w:numPr>
      </w:pPr>
      <w:r>
        <w:rPr>
          <w:rStyle w:val="Strong"/>
        </w:rPr>
        <w:t>11 June 2008</w:t>
      </w:r>
      <w:r>
        <w:t>:</w:t>
      </w:r>
    </w:p>
    <w:p w14:paraId="0132CD0B" w14:textId="77777777" w:rsidR="00026C63" w:rsidRDefault="00026C63" w:rsidP="00026C63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lastRenderedPageBreak/>
        <w:t xml:space="preserve">The preliminary hearing took place. The High Court stayed the operation of the </w:t>
      </w:r>
      <w:r>
        <w:rPr>
          <w:rStyle w:val="Strong"/>
        </w:rPr>
        <w:t>7A order</w:t>
      </w:r>
      <w:r>
        <w:t xml:space="preserve"> issued by the EO.</w:t>
      </w:r>
    </w:p>
    <w:p w14:paraId="14F0C643" w14:textId="77777777" w:rsidR="00026C63" w:rsidRDefault="00026C63" w:rsidP="00026C63">
      <w:pPr>
        <w:pStyle w:val="NormalWeb"/>
        <w:numPr>
          <w:ilvl w:val="0"/>
          <w:numId w:val="49"/>
        </w:numPr>
      </w:pPr>
      <w:r>
        <w:rPr>
          <w:rStyle w:val="Strong"/>
        </w:rPr>
        <w:t>27 June 2008</w:t>
      </w:r>
      <w:r>
        <w:t>:</w:t>
      </w:r>
    </w:p>
    <w:p w14:paraId="73F2B2B5" w14:textId="77777777" w:rsidR="00026C63" w:rsidRDefault="00026C63" w:rsidP="00026C63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 xml:space="preserve">The High Court directed the </w:t>
      </w:r>
      <w:r>
        <w:rPr>
          <w:rStyle w:val="Strong"/>
        </w:rPr>
        <w:t>Appellate Tribunal</w:t>
      </w:r>
      <w:r>
        <w:t xml:space="preserve"> to hear the matter further.</w:t>
      </w:r>
    </w:p>
    <w:p w14:paraId="40BEC234" w14:textId="77777777" w:rsidR="00026C63" w:rsidRDefault="00026C63" w:rsidP="00026C63">
      <w:pPr>
        <w:pStyle w:val="NormalWeb"/>
        <w:numPr>
          <w:ilvl w:val="0"/>
          <w:numId w:val="49"/>
        </w:numPr>
      </w:pPr>
      <w:r>
        <w:rPr>
          <w:rStyle w:val="Strong"/>
        </w:rPr>
        <w:t>2008–2010</w:t>
      </w:r>
      <w:r>
        <w:t>:</w:t>
      </w:r>
    </w:p>
    <w:p w14:paraId="712D0B19" w14:textId="77777777" w:rsidR="00026C63" w:rsidRDefault="00026C63" w:rsidP="00026C63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 xml:space="preserve">The company filed appeals with the </w:t>
      </w:r>
      <w:r>
        <w:rPr>
          <w:rStyle w:val="Strong"/>
        </w:rPr>
        <w:t>EPF Appellate Tribunal, New Delhi</w:t>
      </w:r>
      <w:r>
        <w:t>.</w:t>
      </w:r>
    </w:p>
    <w:p w14:paraId="680F9F7D" w14:textId="77777777" w:rsidR="00026C63" w:rsidRDefault="00026C63" w:rsidP="00026C63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The Tribunal stayed the pre-deposit of 75% of the dues.</w:t>
      </w:r>
    </w:p>
    <w:p w14:paraId="3A665D58" w14:textId="77777777" w:rsidR="00026C63" w:rsidRDefault="00026C63" w:rsidP="00026C63">
      <w:pPr>
        <w:pStyle w:val="NormalWeb"/>
        <w:numPr>
          <w:ilvl w:val="0"/>
          <w:numId w:val="49"/>
        </w:numPr>
      </w:pPr>
      <w:r>
        <w:rPr>
          <w:rStyle w:val="Strong"/>
        </w:rPr>
        <w:t>22 December 2010</w:t>
      </w:r>
      <w:r>
        <w:t>:</w:t>
      </w:r>
    </w:p>
    <w:p w14:paraId="0417D822" w14:textId="77777777" w:rsidR="00026C63" w:rsidRDefault="00026C63" w:rsidP="00026C63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 xml:space="preserve">The Tribunal </w:t>
      </w:r>
      <w:r>
        <w:rPr>
          <w:rStyle w:val="Strong"/>
        </w:rPr>
        <w:t>dismissed the appeal</w:t>
      </w:r>
      <w:r>
        <w:t>, and the operation of the Section 7A order was upheld.</w:t>
      </w:r>
    </w:p>
    <w:p w14:paraId="21CB37B1" w14:textId="77777777" w:rsidR="00026C63" w:rsidRDefault="00026C63" w:rsidP="00026C63">
      <w:pPr>
        <w:spacing w:after="0"/>
      </w:pPr>
      <w:r>
        <w:pict w14:anchorId="20B57C9E">
          <v:rect id="_x0000_i1069" style="width:0;height:1.5pt" o:hralign="center" o:hrstd="t" o:hr="t" fillcolor="#a0a0a0" stroked="f"/>
        </w:pict>
      </w:r>
    </w:p>
    <w:p w14:paraId="0C2442A4" w14:textId="77777777" w:rsidR="00026C63" w:rsidRDefault="00026C63" w:rsidP="00026C63">
      <w:pPr>
        <w:pStyle w:val="Heading4"/>
      </w:pPr>
      <w:r>
        <w:rPr>
          <w:rStyle w:val="Strong"/>
          <w:b w:val="0"/>
          <w:bCs w:val="0"/>
        </w:rPr>
        <w:t>2.3 Resumption of Inquiry (2011–2022)</w:t>
      </w:r>
    </w:p>
    <w:p w14:paraId="661D500A" w14:textId="77777777" w:rsidR="00026C63" w:rsidRDefault="00026C63" w:rsidP="00026C63">
      <w:pPr>
        <w:pStyle w:val="NormalWeb"/>
        <w:numPr>
          <w:ilvl w:val="0"/>
          <w:numId w:val="50"/>
        </w:numPr>
      </w:pPr>
      <w:r>
        <w:rPr>
          <w:rStyle w:val="Strong"/>
        </w:rPr>
        <w:t>2011</w:t>
      </w:r>
      <w:r>
        <w:t>:</w:t>
      </w:r>
    </w:p>
    <w:p w14:paraId="0D946DE5" w14:textId="77777777" w:rsidR="00026C63" w:rsidRDefault="00026C63" w:rsidP="00026C63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 xml:space="preserve">The company filed a fresh </w:t>
      </w:r>
      <w:r>
        <w:rPr>
          <w:rStyle w:val="Strong"/>
        </w:rPr>
        <w:t>Writ Petition (WP No. 4849/2011)</w:t>
      </w:r>
      <w:r>
        <w:t xml:space="preserve"> before the High Court of Karnataka, challenging the Tribunal’s decision.</w:t>
      </w:r>
    </w:p>
    <w:p w14:paraId="1248B100" w14:textId="77777777" w:rsidR="00026C63" w:rsidRDefault="00026C63" w:rsidP="00026C63">
      <w:pPr>
        <w:pStyle w:val="NormalWeb"/>
        <w:numPr>
          <w:ilvl w:val="0"/>
          <w:numId w:val="50"/>
        </w:numPr>
      </w:pPr>
      <w:r>
        <w:rPr>
          <w:rStyle w:val="Strong"/>
        </w:rPr>
        <w:t>November 2022</w:t>
      </w:r>
      <w:r>
        <w:t>:</w:t>
      </w:r>
    </w:p>
    <w:p w14:paraId="09BB196E" w14:textId="77777777" w:rsidR="00026C63" w:rsidRDefault="00026C63" w:rsidP="00026C63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The High Court disposed of the Writ Petition and directed the EPFO to reassess the matter under Section 7A, based on </w:t>
      </w:r>
      <w:r>
        <w:rPr>
          <w:rStyle w:val="Strong"/>
        </w:rPr>
        <w:t>new evidence and submissions</w:t>
      </w:r>
      <w:r>
        <w:t>.</w:t>
      </w:r>
    </w:p>
    <w:p w14:paraId="69CB4EED" w14:textId="77777777" w:rsidR="00026C63" w:rsidRDefault="00026C63" w:rsidP="00026C63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28 October 2022</w:t>
      </w:r>
      <w:r>
        <w:t>:</w:t>
      </w:r>
    </w:p>
    <w:p w14:paraId="379FBC41" w14:textId="77777777" w:rsidR="00026C63" w:rsidRDefault="00026C63" w:rsidP="00026C63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The company submitted an </w:t>
      </w:r>
      <w:r>
        <w:rPr>
          <w:rStyle w:val="Strong"/>
        </w:rPr>
        <w:t>Affidavit</w:t>
      </w:r>
      <w:r>
        <w:t xml:space="preserve"> highlighting that Personal Pay:</w:t>
      </w:r>
    </w:p>
    <w:p w14:paraId="0605E182" w14:textId="77777777" w:rsidR="00026C63" w:rsidRDefault="00026C63" w:rsidP="00026C63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Was not part of Basic Wages.</w:t>
      </w:r>
    </w:p>
    <w:p w14:paraId="2AA8EE2D" w14:textId="77777777" w:rsidR="00026C63" w:rsidRDefault="00026C63" w:rsidP="00026C63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 xml:space="preserve">Was discontinued from </w:t>
      </w:r>
      <w:r>
        <w:rPr>
          <w:rStyle w:val="Strong"/>
        </w:rPr>
        <w:t>April 2008</w:t>
      </w:r>
      <w:r>
        <w:t xml:space="preserve"> onwards.</w:t>
      </w:r>
    </w:p>
    <w:p w14:paraId="2DC605CC" w14:textId="77777777" w:rsidR="00026C63" w:rsidRDefault="00026C63" w:rsidP="00026C63">
      <w:pPr>
        <w:spacing w:after="0"/>
      </w:pPr>
      <w:r>
        <w:pict w14:anchorId="6D7A83F3">
          <v:rect id="_x0000_i1070" style="width:0;height:1.5pt" o:hralign="center" o:hrstd="t" o:hr="t" fillcolor="#a0a0a0" stroked="f"/>
        </w:pict>
      </w:r>
    </w:p>
    <w:p w14:paraId="20D92799" w14:textId="77777777" w:rsidR="00026C63" w:rsidRDefault="00026C63" w:rsidP="00026C63">
      <w:pPr>
        <w:pStyle w:val="Heading4"/>
      </w:pPr>
      <w:r>
        <w:rPr>
          <w:rStyle w:val="Strong"/>
          <w:b w:val="0"/>
          <w:bCs w:val="0"/>
        </w:rPr>
        <w:t>2.4 Conduct of Hearings and Employer Submissions (2023–2024)</w:t>
      </w:r>
    </w:p>
    <w:p w14:paraId="45D0CCCF" w14:textId="77777777" w:rsidR="00026C63" w:rsidRDefault="00026C63" w:rsidP="00026C63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2023 (May–September)</w:t>
      </w:r>
      <w:r>
        <w:t>:</w:t>
      </w:r>
    </w:p>
    <w:p w14:paraId="764DEBD3" w14:textId="77777777" w:rsidR="00026C63" w:rsidRDefault="00026C63" w:rsidP="00026C63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A series of </w:t>
      </w:r>
      <w:r>
        <w:rPr>
          <w:rStyle w:val="Strong"/>
        </w:rPr>
        <w:t>virtual hearings</w:t>
      </w:r>
      <w:r>
        <w:t xml:space="preserve"> were conducted:</w:t>
      </w:r>
    </w:p>
    <w:p w14:paraId="265CFA8F" w14:textId="77777777" w:rsidR="00026C63" w:rsidRDefault="00026C63" w:rsidP="00026C63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>The EO insisted on the inclusion of Personal Pay under Basic Wages.</w:t>
      </w:r>
    </w:p>
    <w:p w14:paraId="580511FF" w14:textId="77777777" w:rsidR="00026C63" w:rsidRDefault="00026C63" w:rsidP="00026C63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>The company submitted records (including salary statements and TDS details) for the inquiry period.</w:t>
      </w:r>
    </w:p>
    <w:p w14:paraId="55903981" w14:textId="77777777" w:rsidR="00026C63" w:rsidRDefault="00026C63" w:rsidP="00026C63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Key Submissions by the Employer</w:t>
      </w:r>
      <w:r>
        <w:t>:</w:t>
      </w:r>
    </w:p>
    <w:p w14:paraId="18FAE9D9" w14:textId="77777777" w:rsidR="00026C63" w:rsidRDefault="00026C63" w:rsidP="00026C63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Personal Pay was </w:t>
      </w:r>
      <w:r>
        <w:rPr>
          <w:rStyle w:val="Strong"/>
        </w:rPr>
        <w:t>paid only to specific categories</w:t>
      </w:r>
      <w:r>
        <w:t xml:space="preserve"> of employees and not universally.</w:t>
      </w:r>
    </w:p>
    <w:p w14:paraId="6CE9F775" w14:textId="77777777" w:rsidR="00026C63" w:rsidRDefault="00026C63" w:rsidP="00026C63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The company lacked records for certain months, particularly for 2004–2005.</w:t>
      </w:r>
    </w:p>
    <w:p w14:paraId="66C7243C" w14:textId="77777777" w:rsidR="00026C63" w:rsidRDefault="00026C63" w:rsidP="00026C63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Cited </w:t>
      </w:r>
      <w:r>
        <w:rPr>
          <w:rStyle w:val="Strong"/>
        </w:rPr>
        <w:t>Supreme Court rulings</w:t>
      </w:r>
      <w:r>
        <w:t xml:space="preserve"> (</w:t>
      </w:r>
      <w:r>
        <w:rPr>
          <w:rStyle w:val="Emphasis"/>
        </w:rPr>
        <w:t>Bridge Roof</w:t>
      </w:r>
      <w:r>
        <w:t xml:space="preserve"> and </w:t>
      </w:r>
      <w:r>
        <w:rPr>
          <w:rStyle w:val="Emphasis"/>
        </w:rPr>
        <w:t>Manipal Academy cases</w:t>
      </w:r>
      <w:r>
        <w:t>) to argue against PF contributions on Personal Pay.</w:t>
      </w:r>
    </w:p>
    <w:p w14:paraId="00C5FED2" w14:textId="77777777" w:rsidR="00026C63" w:rsidRDefault="00026C63" w:rsidP="00026C63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Enforcement Officer's Report (8 August 2023)</w:t>
      </w:r>
      <w:r>
        <w:t>:</w:t>
      </w:r>
    </w:p>
    <w:p w14:paraId="46CD7CC7" w14:textId="77777777" w:rsidR="00026C63" w:rsidRDefault="00026C63" w:rsidP="00026C63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lastRenderedPageBreak/>
        <w:t>The EO rejected the employer's arguments and reiterated:</w:t>
      </w:r>
    </w:p>
    <w:p w14:paraId="5438CADD" w14:textId="77777777" w:rsidR="00026C63" w:rsidRDefault="00026C63" w:rsidP="00026C63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 xml:space="preserve">Personal Pay was </w:t>
      </w:r>
      <w:r>
        <w:rPr>
          <w:rStyle w:val="Strong"/>
        </w:rPr>
        <w:t>universally paid</w:t>
      </w:r>
      <w:r>
        <w:t xml:space="preserve"> and qualifies as Basic Wages.</w:t>
      </w:r>
    </w:p>
    <w:p w14:paraId="21CB6D28" w14:textId="77777777" w:rsidR="00026C63" w:rsidRDefault="00026C63" w:rsidP="00026C63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 xml:space="preserve">Contributions were </w:t>
      </w:r>
      <w:r>
        <w:rPr>
          <w:rStyle w:val="Strong"/>
        </w:rPr>
        <w:t>not paid</w:t>
      </w:r>
      <w:r>
        <w:t xml:space="preserve"> on this component, leading to arrears.</w:t>
      </w:r>
    </w:p>
    <w:p w14:paraId="14276E73" w14:textId="77777777" w:rsidR="00026C63" w:rsidRDefault="00026C63" w:rsidP="00026C63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September–October 2024</w:t>
      </w:r>
      <w:r>
        <w:t>:</w:t>
      </w:r>
    </w:p>
    <w:p w14:paraId="47C5003A" w14:textId="77777777" w:rsidR="00026C63" w:rsidRDefault="00026C63" w:rsidP="00026C63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Final hearings were conducted.</w:t>
      </w:r>
    </w:p>
    <w:p w14:paraId="6BA691BA" w14:textId="77777777" w:rsidR="00026C63" w:rsidRDefault="00026C63" w:rsidP="00026C63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The company requested additional time to submit documents, but delays were noted.</w:t>
      </w:r>
    </w:p>
    <w:p w14:paraId="7031728C" w14:textId="77777777" w:rsidR="00026C63" w:rsidRDefault="00026C63" w:rsidP="00026C63">
      <w:pPr>
        <w:spacing w:after="0"/>
      </w:pPr>
      <w:r>
        <w:pict w14:anchorId="1024F738">
          <v:rect id="_x0000_i1071" style="width:0;height:1.5pt" o:hralign="center" o:hrstd="t" o:hr="t" fillcolor="#a0a0a0" stroked="f"/>
        </w:pict>
      </w:r>
    </w:p>
    <w:p w14:paraId="340446F1" w14:textId="77777777" w:rsidR="00026C63" w:rsidRDefault="00026C63" w:rsidP="00026C63">
      <w:pPr>
        <w:pStyle w:val="Heading3"/>
      </w:pPr>
      <w:r>
        <w:rPr>
          <w:rStyle w:val="Strong"/>
          <w:b/>
          <w:bCs/>
        </w:rPr>
        <w:t>3. Key Findings</w:t>
      </w:r>
    </w:p>
    <w:p w14:paraId="23225C8D" w14:textId="77777777" w:rsidR="00026C63" w:rsidRDefault="00026C63" w:rsidP="00026C63">
      <w:pPr>
        <w:pStyle w:val="NormalWeb"/>
        <w:numPr>
          <w:ilvl w:val="0"/>
          <w:numId w:val="62"/>
        </w:numPr>
      </w:pPr>
      <w:r>
        <w:rPr>
          <w:rStyle w:val="Strong"/>
        </w:rPr>
        <w:t>Definition of Personal Pay</w:t>
      </w:r>
      <w:r>
        <w:t>:</w:t>
      </w:r>
    </w:p>
    <w:p w14:paraId="78454E42" w14:textId="77777777" w:rsidR="00026C63" w:rsidRDefault="00026C63" w:rsidP="00026C63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The inquiry determined that Personal Pay was:</w:t>
      </w:r>
    </w:p>
    <w:p w14:paraId="15D82D4B" w14:textId="77777777" w:rsidR="00026C63" w:rsidRDefault="00026C63" w:rsidP="00026C63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>Paid universally to employees.</w:t>
      </w:r>
    </w:p>
    <w:p w14:paraId="214E5EB4" w14:textId="77777777" w:rsidR="00026C63" w:rsidRDefault="00026C63" w:rsidP="00026C63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 xml:space="preserve">A component of wages </w:t>
      </w:r>
      <w:r>
        <w:rPr>
          <w:rStyle w:val="Strong"/>
        </w:rPr>
        <w:t>"ordinarily, necessarily, and universally paid"</w:t>
      </w:r>
      <w:r>
        <w:t>.</w:t>
      </w:r>
    </w:p>
    <w:p w14:paraId="5693EBAB" w14:textId="77777777" w:rsidR="00026C63" w:rsidRDefault="00026C63" w:rsidP="00026C63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 xml:space="preserve">Therefore, it falls under </w:t>
      </w:r>
      <w:r>
        <w:rPr>
          <w:rStyle w:val="Strong"/>
        </w:rPr>
        <w:t>Basic Wages</w:t>
      </w:r>
      <w:r>
        <w:t xml:space="preserve"> as per the </w:t>
      </w:r>
      <w:r>
        <w:rPr>
          <w:rStyle w:val="Strong"/>
        </w:rPr>
        <w:t>EPF Act</w:t>
      </w:r>
      <w:r>
        <w:t xml:space="preserve"> and the </w:t>
      </w:r>
      <w:r>
        <w:rPr>
          <w:rStyle w:val="Emphasis"/>
        </w:rPr>
        <w:t>Bridge Roof</w:t>
      </w:r>
      <w:r>
        <w:t xml:space="preserve"> case.</w:t>
      </w:r>
    </w:p>
    <w:p w14:paraId="03C4D584" w14:textId="77777777" w:rsidR="00026C63" w:rsidRDefault="00026C63" w:rsidP="00026C63">
      <w:pPr>
        <w:pStyle w:val="NormalWeb"/>
        <w:numPr>
          <w:ilvl w:val="0"/>
          <w:numId w:val="62"/>
        </w:numPr>
      </w:pPr>
      <w:r>
        <w:rPr>
          <w:rStyle w:val="Strong"/>
        </w:rPr>
        <w:t>Employer’s Liability</w:t>
      </w:r>
      <w:r>
        <w:t>:</w:t>
      </w:r>
    </w:p>
    <w:p w14:paraId="313FECFD" w14:textId="77777777" w:rsidR="00026C63" w:rsidRDefault="00026C63" w:rsidP="00026C63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The company’s contention that Personal Pay was excluded from Basic Wages was rejected.</w:t>
      </w:r>
    </w:p>
    <w:p w14:paraId="7C737D0C" w14:textId="77777777" w:rsidR="00026C63" w:rsidRDefault="00026C63" w:rsidP="00026C63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The EO confirmed arrears for the inquiry period (April 2004–July 2007).</w:t>
      </w:r>
    </w:p>
    <w:p w14:paraId="75913F13" w14:textId="77777777" w:rsidR="00026C63" w:rsidRDefault="00026C63" w:rsidP="00026C63">
      <w:pPr>
        <w:pStyle w:val="NormalWeb"/>
        <w:numPr>
          <w:ilvl w:val="0"/>
          <w:numId w:val="62"/>
        </w:numPr>
      </w:pPr>
      <w:r>
        <w:rPr>
          <w:rStyle w:val="Strong"/>
        </w:rPr>
        <w:t>Dues and Calculations</w:t>
      </w:r>
      <w:r>
        <w:t>:</w:t>
      </w:r>
    </w:p>
    <w:p w14:paraId="602DB6B5" w14:textId="77777777" w:rsidR="00026C63" w:rsidRDefault="00026C63" w:rsidP="00026C63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The EO provided detailed dues calculations:</w:t>
      </w:r>
    </w:p>
    <w:p w14:paraId="54C732DE" w14:textId="77777777" w:rsidR="00026C63" w:rsidRDefault="00026C63" w:rsidP="00026C63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 xml:space="preserve">Contributions for </w:t>
      </w:r>
      <w:r>
        <w:rPr>
          <w:rStyle w:val="Strong"/>
        </w:rPr>
        <w:t>employees and employers</w:t>
      </w:r>
      <w:r>
        <w:t xml:space="preserve"> were assessed month-by-month.</w:t>
      </w:r>
    </w:p>
    <w:p w14:paraId="78F744D0" w14:textId="77777777" w:rsidR="00026C63" w:rsidRDefault="00026C63" w:rsidP="00026C63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 xml:space="preserve">Final dues amounted to </w:t>
      </w:r>
      <w:r>
        <w:rPr>
          <w:rStyle w:val="Strong"/>
        </w:rPr>
        <w:t>₹49,67,799</w:t>
      </w:r>
      <w:r>
        <w:t>.</w:t>
      </w:r>
    </w:p>
    <w:p w14:paraId="4117DB6B" w14:textId="77777777" w:rsidR="00026C63" w:rsidRDefault="00026C63" w:rsidP="00026C63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 xml:space="preserve">Remittances made so far were </w:t>
      </w:r>
      <w:r>
        <w:rPr>
          <w:rStyle w:val="Strong"/>
        </w:rPr>
        <w:t>deducted</w:t>
      </w:r>
      <w:r>
        <w:t xml:space="preserve">, leaving a balance of </w:t>
      </w:r>
      <w:r>
        <w:rPr>
          <w:rStyle w:val="Strong"/>
        </w:rPr>
        <w:t>₹19,35,519 payable</w:t>
      </w:r>
      <w:r>
        <w:t>.</w:t>
      </w:r>
    </w:p>
    <w:p w14:paraId="4B497B73" w14:textId="77777777" w:rsidR="00026C63" w:rsidRDefault="00026C63" w:rsidP="00026C63">
      <w:pPr>
        <w:spacing w:after="0"/>
      </w:pPr>
      <w:r>
        <w:pict w14:anchorId="752CCF38">
          <v:rect id="_x0000_i1072" style="width:0;height:1.5pt" o:hralign="center" o:hrstd="t" o:hr="t" fillcolor="#a0a0a0" stroked="f"/>
        </w:pict>
      </w:r>
    </w:p>
    <w:p w14:paraId="5D11D3FA" w14:textId="77777777" w:rsidR="00026C63" w:rsidRDefault="00026C63" w:rsidP="00026C63">
      <w:pPr>
        <w:pStyle w:val="Heading3"/>
      </w:pPr>
      <w:r>
        <w:rPr>
          <w:rStyle w:val="Strong"/>
          <w:b/>
          <w:bCs/>
        </w:rPr>
        <w:t>4. Final Order (28 November 2024)</w:t>
      </w:r>
    </w:p>
    <w:p w14:paraId="0FFDF890" w14:textId="77777777" w:rsidR="00026C63" w:rsidRDefault="00026C63" w:rsidP="00026C63">
      <w:pPr>
        <w:pStyle w:val="NormalWeb"/>
      </w:pPr>
      <w:r>
        <w:t xml:space="preserve">The </w:t>
      </w:r>
      <w:r>
        <w:rPr>
          <w:rStyle w:val="Strong"/>
        </w:rPr>
        <w:t>Regional Provident Fund Commissioner-II</w:t>
      </w:r>
      <w:r>
        <w:t xml:space="preserve">, Shri </w:t>
      </w:r>
      <w:r>
        <w:rPr>
          <w:rStyle w:val="Strong"/>
        </w:rPr>
        <w:t xml:space="preserve">Aniket Anil </w:t>
      </w:r>
      <w:proofErr w:type="spellStart"/>
      <w:r>
        <w:rPr>
          <w:rStyle w:val="Strong"/>
        </w:rPr>
        <w:t>Ambekar</w:t>
      </w:r>
      <w:proofErr w:type="spellEnd"/>
      <w:r>
        <w:t>, issued the final order:</w:t>
      </w:r>
    </w:p>
    <w:p w14:paraId="1D355E84" w14:textId="77777777" w:rsidR="00026C63" w:rsidRDefault="00026C63" w:rsidP="00026C63">
      <w:pPr>
        <w:pStyle w:val="NormalWeb"/>
        <w:numPr>
          <w:ilvl w:val="0"/>
          <w:numId w:val="63"/>
        </w:numPr>
      </w:pPr>
      <w:r>
        <w:rPr>
          <w:rStyle w:val="Strong"/>
        </w:rPr>
        <w:t>Dues to be Paid</w:t>
      </w:r>
      <w:r>
        <w:t>:</w:t>
      </w:r>
    </w:p>
    <w:p w14:paraId="2377BC41" w14:textId="77777777" w:rsidR="00026C63" w:rsidRDefault="00026C63" w:rsidP="00026C63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 xml:space="preserve">The company is directed to remit </w:t>
      </w:r>
      <w:r>
        <w:rPr>
          <w:rStyle w:val="Strong"/>
        </w:rPr>
        <w:t>₹49,67,799</w:t>
      </w:r>
      <w:r>
        <w:t>, minus payments already made.</w:t>
      </w:r>
    </w:p>
    <w:p w14:paraId="437DDC56" w14:textId="77777777" w:rsidR="00026C63" w:rsidRDefault="00026C63" w:rsidP="00026C63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 xml:space="preserve">A balance of </w:t>
      </w:r>
      <w:r>
        <w:rPr>
          <w:rStyle w:val="Strong"/>
        </w:rPr>
        <w:t>₹19,35,519</w:t>
      </w:r>
      <w:r>
        <w:t xml:space="preserve"> must be paid within </w:t>
      </w:r>
      <w:r>
        <w:rPr>
          <w:rStyle w:val="Strong"/>
        </w:rPr>
        <w:t>45 days</w:t>
      </w:r>
      <w:r>
        <w:t>.</w:t>
      </w:r>
    </w:p>
    <w:p w14:paraId="4E7A9719" w14:textId="77777777" w:rsidR="00026C63" w:rsidRDefault="00026C63" w:rsidP="00026C63">
      <w:pPr>
        <w:pStyle w:val="NormalWeb"/>
        <w:numPr>
          <w:ilvl w:val="0"/>
          <w:numId w:val="63"/>
        </w:numPr>
      </w:pPr>
      <w:r>
        <w:rPr>
          <w:rStyle w:val="Strong"/>
        </w:rPr>
        <w:t>Consequences of Non-Compliance</w:t>
      </w:r>
      <w:r>
        <w:t>:</w:t>
      </w:r>
    </w:p>
    <w:p w14:paraId="50037B57" w14:textId="77777777" w:rsidR="00026C63" w:rsidRDefault="00026C63" w:rsidP="00026C63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Failure to pay within the stipulated time will result in recovery under relevant sections of the EPF Act.</w:t>
      </w:r>
    </w:p>
    <w:p w14:paraId="309F899B" w14:textId="77777777" w:rsidR="00026C63" w:rsidRDefault="00026C63" w:rsidP="00026C63">
      <w:pPr>
        <w:pStyle w:val="NormalWeb"/>
        <w:numPr>
          <w:ilvl w:val="0"/>
          <w:numId w:val="63"/>
        </w:numPr>
      </w:pPr>
      <w:r>
        <w:rPr>
          <w:rStyle w:val="Strong"/>
        </w:rPr>
        <w:t>Right to Reassess</w:t>
      </w:r>
      <w:r>
        <w:t>:</w:t>
      </w:r>
    </w:p>
    <w:p w14:paraId="736EC058" w14:textId="77777777" w:rsidR="00026C63" w:rsidRDefault="00026C63" w:rsidP="00026C63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 xml:space="preserve">The EPFO retains the right to reopen the case in case of discovery of </w:t>
      </w:r>
      <w:r>
        <w:rPr>
          <w:rStyle w:val="Strong"/>
        </w:rPr>
        <w:t>new evidence or arrears</w:t>
      </w:r>
      <w:r>
        <w:t>.</w:t>
      </w:r>
    </w:p>
    <w:p w14:paraId="26DA6B19" w14:textId="77777777" w:rsidR="00026C63" w:rsidRDefault="00026C63"/>
    <w:sectPr w:rsidR="0002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B5E"/>
    <w:multiLevelType w:val="multilevel"/>
    <w:tmpl w:val="2A9C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A3668"/>
    <w:multiLevelType w:val="multilevel"/>
    <w:tmpl w:val="D296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C3AD9"/>
    <w:multiLevelType w:val="multilevel"/>
    <w:tmpl w:val="A008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A4170F"/>
    <w:multiLevelType w:val="multilevel"/>
    <w:tmpl w:val="B5504D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67F57"/>
    <w:multiLevelType w:val="multilevel"/>
    <w:tmpl w:val="117A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24558"/>
    <w:multiLevelType w:val="multilevel"/>
    <w:tmpl w:val="21F8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6F7477"/>
    <w:multiLevelType w:val="multilevel"/>
    <w:tmpl w:val="B87AC9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83746E"/>
    <w:multiLevelType w:val="multilevel"/>
    <w:tmpl w:val="CCF4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12730"/>
    <w:multiLevelType w:val="multilevel"/>
    <w:tmpl w:val="26C812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25125"/>
    <w:multiLevelType w:val="multilevel"/>
    <w:tmpl w:val="60C6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07328"/>
    <w:multiLevelType w:val="multilevel"/>
    <w:tmpl w:val="513A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215447"/>
    <w:multiLevelType w:val="multilevel"/>
    <w:tmpl w:val="C814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742C8"/>
    <w:multiLevelType w:val="multilevel"/>
    <w:tmpl w:val="843A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BF2DB6"/>
    <w:multiLevelType w:val="multilevel"/>
    <w:tmpl w:val="9378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F23352"/>
    <w:multiLevelType w:val="hybridMultilevel"/>
    <w:tmpl w:val="0272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56498A"/>
    <w:multiLevelType w:val="multilevel"/>
    <w:tmpl w:val="0A8011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883D15"/>
    <w:multiLevelType w:val="multilevel"/>
    <w:tmpl w:val="38A6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E51AA4"/>
    <w:multiLevelType w:val="multilevel"/>
    <w:tmpl w:val="6334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F32469"/>
    <w:multiLevelType w:val="multilevel"/>
    <w:tmpl w:val="F754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D934DA"/>
    <w:multiLevelType w:val="multilevel"/>
    <w:tmpl w:val="82DE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1841CA"/>
    <w:multiLevelType w:val="multilevel"/>
    <w:tmpl w:val="2A2AE2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0B6492"/>
    <w:multiLevelType w:val="multilevel"/>
    <w:tmpl w:val="1642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AD0F5B"/>
    <w:multiLevelType w:val="multilevel"/>
    <w:tmpl w:val="84F678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D23323"/>
    <w:multiLevelType w:val="multilevel"/>
    <w:tmpl w:val="2946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6C3CB8"/>
    <w:multiLevelType w:val="multilevel"/>
    <w:tmpl w:val="3EC2FBB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F56360"/>
    <w:multiLevelType w:val="multilevel"/>
    <w:tmpl w:val="4F7E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690E55"/>
    <w:multiLevelType w:val="multilevel"/>
    <w:tmpl w:val="2F44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DA3F47"/>
    <w:multiLevelType w:val="multilevel"/>
    <w:tmpl w:val="95160D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383F30"/>
    <w:multiLevelType w:val="multilevel"/>
    <w:tmpl w:val="8940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7D7B3A"/>
    <w:multiLevelType w:val="multilevel"/>
    <w:tmpl w:val="54F2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DB7E47"/>
    <w:multiLevelType w:val="multilevel"/>
    <w:tmpl w:val="8236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9B31F8"/>
    <w:multiLevelType w:val="multilevel"/>
    <w:tmpl w:val="4E46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987C7F"/>
    <w:multiLevelType w:val="multilevel"/>
    <w:tmpl w:val="D682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566AF5"/>
    <w:multiLevelType w:val="multilevel"/>
    <w:tmpl w:val="0FB4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B25036"/>
    <w:multiLevelType w:val="multilevel"/>
    <w:tmpl w:val="E9F8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DA3499"/>
    <w:multiLevelType w:val="multilevel"/>
    <w:tmpl w:val="1DE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E13802"/>
    <w:multiLevelType w:val="multilevel"/>
    <w:tmpl w:val="A906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B42152"/>
    <w:multiLevelType w:val="multilevel"/>
    <w:tmpl w:val="FD44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1C0F1C"/>
    <w:multiLevelType w:val="multilevel"/>
    <w:tmpl w:val="9442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887897"/>
    <w:multiLevelType w:val="multilevel"/>
    <w:tmpl w:val="1622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5D928BF"/>
    <w:multiLevelType w:val="multilevel"/>
    <w:tmpl w:val="9DE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483F00"/>
    <w:multiLevelType w:val="multilevel"/>
    <w:tmpl w:val="6298CE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2458F8"/>
    <w:multiLevelType w:val="multilevel"/>
    <w:tmpl w:val="D98C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FD7E13"/>
    <w:multiLevelType w:val="multilevel"/>
    <w:tmpl w:val="DBA6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ED5186"/>
    <w:multiLevelType w:val="multilevel"/>
    <w:tmpl w:val="AABEAFE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562B7F"/>
    <w:multiLevelType w:val="multilevel"/>
    <w:tmpl w:val="CF7C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166FB5"/>
    <w:multiLevelType w:val="multilevel"/>
    <w:tmpl w:val="A7B20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89631F"/>
    <w:multiLevelType w:val="multilevel"/>
    <w:tmpl w:val="BBF8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F53042"/>
    <w:multiLevelType w:val="multilevel"/>
    <w:tmpl w:val="3060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1A34A6"/>
    <w:multiLevelType w:val="multilevel"/>
    <w:tmpl w:val="F138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4B026F"/>
    <w:multiLevelType w:val="multilevel"/>
    <w:tmpl w:val="22B4DC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EDA7506"/>
    <w:multiLevelType w:val="multilevel"/>
    <w:tmpl w:val="6296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693570"/>
    <w:multiLevelType w:val="multilevel"/>
    <w:tmpl w:val="9B62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F2357A"/>
    <w:multiLevelType w:val="multilevel"/>
    <w:tmpl w:val="7794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9F6033"/>
    <w:multiLevelType w:val="multilevel"/>
    <w:tmpl w:val="88BA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B24FC1"/>
    <w:multiLevelType w:val="multilevel"/>
    <w:tmpl w:val="B618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F77ECE"/>
    <w:multiLevelType w:val="multilevel"/>
    <w:tmpl w:val="D192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092D82"/>
    <w:multiLevelType w:val="multilevel"/>
    <w:tmpl w:val="1DF23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9AF7EF2"/>
    <w:multiLevelType w:val="multilevel"/>
    <w:tmpl w:val="96D0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815CEA"/>
    <w:multiLevelType w:val="multilevel"/>
    <w:tmpl w:val="8920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EF3D69"/>
    <w:multiLevelType w:val="multilevel"/>
    <w:tmpl w:val="55F2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E4204DC"/>
    <w:multiLevelType w:val="multilevel"/>
    <w:tmpl w:val="49C0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156649">
    <w:abstractNumId w:val="39"/>
  </w:num>
  <w:num w:numId="2" w16cid:durableId="356469331">
    <w:abstractNumId w:val="14"/>
  </w:num>
  <w:num w:numId="3" w16cid:durableId="1399278493">
    <w:abstractNumId w:val="10"/>
  </w:num>
  <w:num w:numId="4" w16cid:durableId="1293049926">
    <w:abstractNumId w:val="38"/>
  </w:num>
  <w:num w:numId="5" w16cid:durableId="1140268203">
    <w:abstractNumId w:val="17"/>
  </w:num>
  <w:num w:numId="6" w16cid:durableId="58946954">
    <w:abstractNumId w:val="53"/>
  </w:num>
  <w:num w:numId="7" w16cid:durableId="889262989">
    <w:abstractNumId w:val="52"/>
  </w:num>
  <w:num w:numId="8" w16cid:durableId="1050155861">
    <w:abstractNumId w:val="19"/>
  </w:num>
  <w:num w:numId="9" w16cid:durableId="913584517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291395568">
    <w:abstractNumId w:val="37"/>
  </w:num>
  <w:num w:numId="11" w16cid:durableId="2102216109">
    <w:abstractNumId w:val="1"/>
  </w:num>
  <w:num w:numId="12" w16cid:durableId="1444499879">
    <w:abstractNumId w:val="26"/>
  </w:num>
  <w:num w:numId="13" w16cid:durableId="1917470833">
    <w:abstractNumId w:val="35"/>
  </w:num>
  <w:num w:numId="14" w16cid:durableId="412824530">
    <w:abstractNumId w:val="48"/>
  </w:num>
  <w:num w:numId="15" w16cid:durableId="2067143982">
    <w:abstractNumId w:val="30"/>
  </w:num>
  <w:num w:numId="16" w16cid:durableId="242448511">
    <w:abstractNumId w:val="12"/>
  </w:num>
  <w:num w:numId="17" w16cid:durableId="493380402">
    <w:abstractNumId w:val="0"/>
  </w:num>
  <w:num w:numId="18" w16cid:durableId="1265572013">
    <w:abstractNumId w:val="16"/>
  </w:num>
  <w:num w:numId="19" w16cid:durableId="861939585">
    <w:abstractNumId w:val="40"/>
  </w:num>
  <w:num w:numId="20" w16cid:durableId="669064354">
    <w:abstractNumId w:val="28"/>
  </w:num>
  <w:num w:numId="21" w16cid:durableId="1973365659">
    <w:abstractNumId w:val="36"/>
  </w:num>
  <w:num w:numId="22" w16cid:durableId="1760758609">
    <w:abstractNumId w:val="46"/>
  </w:num>
  <w:num w:numId="23" w16cid:durableId="1893038621">
    <w:abstractNumId w:val="33"/>
  </w:num>
  <w:num w:numId="24" w16cid:durableId="103043146">
    <w:abstractNumId w:val="59"/>
  </w:num>
  <w:num w:numId="25" w16cid:durableId="1568955190">
    <w:abstractNumId w:val="45"/>
  </w:num>
  <w:num w:numId="26" w16cid:durableId="1258831416">
    <w:abstractNumId w:val="23"/>
  </w:num>
  <w:num w:numId="27" w16cid:durableId="451435379">
    <w:abstractNumId w:val="20"/>
  </w:num>
  <w:num w:numId="28" w16cid:durableId="1796826626">
    <w:abstractNumId w:val="3"/>
  </w:num>
  <w:num w:numId="29" w16cid:durableId="2043702528">
    <w:abstractNumId w:val="27"/>
  </w:num>
  <w:num w:numId="30" w16cid:durableId="2078823218">
    <w:abstractNumId w:val="50"/>
  </w:num>
  <w:num w:numId="31" w16cid:durableId="487400526">
    <w:abstractNumId w:val="18"/>
  </w:num>
  <w:num w:numId="32" w16cid:durableId="1754935184">
    <w:abstractNumId w:val="5"/>
  </w:num>
  <w:num w:numId="33" w16cid:durableId="2084402167">
    <w:abstractNumId w:val="51"/>
  </w:num>
  <w:num w:numId="34" w16cid:durableId="114065379">
    <w:abstractNumId w:val="9"/>
  </w:num>
  <w:num w:numId="35" w16cid:durableId="630984066">
    <w:abstractNumId w:val="4"/>
  </w:num>
  <w:num w:numId="36" w16cid:durableId="226427017">
    <w:abstractNumId w:val="55"/>
  </w:num>
  <w:num w:numId="37" w16cid:durableId="1060329961">
    <w:abstractNumId w:val="54"/>
  </w:num>
  <w:num w:numId="38" w16cid:durableId="1937669628">
    <w:abstractNumId w:val="61"/>
  </w:num>
  <w:num w:numId="39" w16cid:durableId="1682202571">
    <w:abstractNumId w:val="58"/>
  </w:num>
  <w:num w:numId="40" w16cid:durableId="625434576">
    <w:abstractNumId w:val="32"/>
  </w:num>
  <w:num w:numId="41" w16cid:durableId="525557894">
    <w:abstractNumId w:val="56"/>
  </w:num>
  <w:num w:numId="42" w16cid:durableId="1689334549">
    <w:abstractNumId w:val="31"/>
  </w:num>
  <w:num w:numId="43" w16cid:durableId="1099374511">
    <w:abstractNumId w:val="60"/>
  </w:num>
  <w:num w:numId="44" w16cid:durableId="1872764312">
    <w:abstractNumId w:val="25"/>
  </w:num>
  <w:num w:numId="45" w16cid:durableId="901990539">
    <w:abstractNumId w:val="7"/>
  </w:num>
  <w:num w:numId="46" w16cid:durableId="1417051942">
    <w:abstractNumId w:val="34"/>
  </w:num>
  <w:num w:numId="47" w16cid:durableId="854806852">
    <w:abstractNumId w:val="29"/>
  </w:num>
  <w:num w:numId="48" w16cid:durableId="1756129798">
    <w:abstractNumId w:val="2"/>
  </w:num>
  <w:num w:numId="49" w16cid:durableId="1717390304">
    <w:abstractNumId w:val="22"/>
  </w:num>
  <w:num w:numId="50" w16cid:durableId="456219523">
    <w:abstractNumId w:val="15"/>
  </w:num>
  <w:num w:numId="51" w16cid:durableId="1588536532">
    <w:abstractNumId w:val="47"/>
  </w:num>
  <w:num w:numId="52" w16cid:durableId="1260524116">
    <w:abstractNumId w:val="6"/>
  </w:num>
  <w:num w:numId="53" w16cid:durableId="1417898156">
    <w:abstractNumId w:val="43"/>
  </w:num>
  <w:num w:numId="54" w16cid:durableId="1759908634">
    <w:abstractNumId w:val="41"/>
  </w:num>
  <w:num w:numId="55" w16cid:durableId="589850018">
    <w:abstractNumId w:val="49"/>
  </w:num>
  <w:num w:numId="56" w16cid:durableId="1401829833">
    <w:abstractNumId w:val="24"/>
  </w:num>
  <w:num w:numId="57" w16cid:durableId="1993752245">
    <w:abstractNumId w:val="11"/>
  </w:num>
  <w:num w:numId="58" w16cid:durableId="1197887488">
    <w:abstractNumId w:val="44"/>
  </w:num>
  <w:num w:numId="59" w16cid:durableId="1168059688">
    <w:abstractNumId w:val="42"/>
  </w:num>
  <w:num w:numId="60" w16cid:durableId="332999272">
    <w:abstractNumId w:val="8"/>
  </w:num>
  <w:num w:numId="61" w16cid:durableId="1755541832">
    <w:abstractNumId w:val="13"/>
  </w:num>
  <w:num w:numId="62" w16cid:durableId="1224829017">
    <w:abstractNumId w:val="21"/>
  </w:num>
  <w:num w:numId="63" w16cid:durableId="191840677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31"/>
    <w:rsid w:val="00026C63"/>
    <w:rsid w:val="006979B1"/>
    <w:rsid w:val="00CF5431"/>
    <w:rsid w:val="00D42EE7"/>
    <w:rsid w:val="00D84313"/>
    <w:rsid w:val="00DC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D6D4"/>
  <w15:chartTrackingRefBased/>
  <w15:docId w15:val="{18578239-EB6F-4E74-B05A-19CF5D83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42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C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979B1"/>
    <w:rPr>
      <w:b/>
      <w:bCs/>
    </w:rPr>
  </w:style>
  <w:style w:type="character" w:styleId="Emphasis">
    <w:name w:val="Emphasis"/>
    <w:basedOn w:val="DefaultParagraphFont"/>
    <w:uiPriority w:val="20"/>
    <w:qFormat/>
    <w:rsid w:val="006979B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42EE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C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26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97ea58d-47e6-47cc-9ab7-39ab03def869}" enabled="1" method="Standard" siteId="{505cca53-5750-4134-9501-8d52d5df3cd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Arun (893)</dc:creator>
  <cp:keywords/>
  <dc:description/>
  <cp:lastModifiedBy>kumar, Arun (893)</cp:lastModifiedBy>
  <cp:revision>3</cp:revision>
  <dcterms:created xsi:type="dcterms:W3CDTF">2024-12-17T07:56:00Z</dcterms:created>
  <dcterms:modified xsi:type="dcterms:W3CDTF">2024-12-17T08:43:00Z</dcterms:modified>
</cp:coreProperties>
</file>