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CloudScale Enterprise Information Security Handbook</w:t>
      </w:r>
    </w:p>
    <w:p>
      <w:pPr>
        <w:pStyle w:val="Heading2"/>
      </w:pPr>
      <w:r>
        <w:t>Section 1: Authentication and Passwords</w:t>
      </w:r>
    </w:p>
    <w:p>
      <w:r>
        <w:t>All employee passwords must be at least 14 characters long and contain uppercase, lowercase, numbers, and symbols. Passwords must be rotated every 90 days. Multi-Factor Authentication (MFA) is strictly mandatory using hardware security keys (FIDO2) or authenticator apps (TOTP). SMS-based two-factor authentication is prohibited due to SIM-swapping risks.</w:t>
      </w:r>
    </w:p>
    <w:p>
      <w:pPr>
        <w:pStyle w:val="Heading2"/>
      </w:pPr>
      <w:r>
        <w:t>Section 2: Incident Response Timelines</w:t>
      </w:r>
    </w:p>
    <w:p>
      <w:r>
        <w:t>Security incidents are classified into three severity levels:</w:t>
        <w:br/>
        <w:t>- Severity 1 (Critical): Acknowledgment SLA is 15 minutes, with operational updates every 30 minutes.</w:t>
        <w:br/>
        <w:t>- Severity 2 (High): Acknowledgment SLA is 1 hour, with updates every 2 hours.</w:t>
        <w:br/>
        <w:t>- Severity 3 (Medium/Low): Acknowledgment SLA is 4 hours, with daily status reports.</w:t>
      </w:r>
    </w:p>
    <w:p>
      <w:pPr>
        <w:pStyle w:val="Heading2"/>
      </w:pPr>
      <w:r>
        <w:t>Section 3: Data Classification and Encryption</w:t>
      </w:r>
    </w:p>
    <w:p>
      <w:r>
        <w:t>Data is categorized into four tiers: Public, Internal, Confidential, and Restricted. Restricted data contains customer PII or financial accounts and mandates AES-256 encryption at rest and in transit.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